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642D91" w:rsidRDefault="00907451" w:rsidP="001E28B6">
      <w:pPr>
        <w:spacing w:before="240" w:after="240" w:line="360" w:lineRule="auto"/>
        <w:jc w:val="both"/>
        <w:rPr>
          <w:rFonts w:ascii="Palatino Linotype" w:hAnsi="Palatino Linotype"/>
          <w:b/>
          <w:sz w:val="24"/>
          <w:szCs w:val="24"/>
        </w:rPr>
      </w:pPr>
      <w:r w:rsidRPr="00642D91">
        <w:rPr>
          <w:rFonts w:ascii="Palatino Linotype" w:hAnsi="Palatino Linotype"/>
          <w:b/>
          <w:sz w:val="24"/>
          <w:szCs w:val="24"/>
        </w:rPr>
        <w:t>VOTO</w:t>
      </w:r>
      <w:r w:rsidR="000607BA" w:rsidRPr="00642D91">
        <w:rPr>
          <w:rFonts w:ascii="Palatino Linotype" w:hAnsi="Palatino Linotype"/>
          <w:b/>
          <w:sz w:val="24"/>
          <w:szCs w:val="24"/>
        </w:rPr>
        <w:t xml:space="preserve"> PARTICULAR QUE FORMULA </w:t>
      </w:r>
      <w:r w:rsidR="00004FA2">
        <w:rPr>
          <w:rFonts w:ascii="Palatino Linotype" w:hAnsi="Palatino Linotype"/>
          <w:b/>
          <w:sz w:val="24"/>
          <w:szCs w:val="24"/>
        </w:rPr>
        <w:t>EL</w:t>
      </w:r>
      <w:r w:rsidR="00335939" w:rsidRPr="00642D91">
        <w:rPr>
          <w:rFonts w:ascii="Palatino Linotype" w:hAnsi="Palatino Linotype"/>
          <w:b/>
          <w:sz w:val="24"/>
          <w:szCs w:val="24"/>
        </w:rPr>
        <w:t xml:space="preserve"> COMISIONADO </w:t>
      </w:r>
      <w:r w:rsidR="00BA3598" w:rsidRPr="00642D91">
        <w:rPr>
          <w:rFonts w:ascii="Palatino Linotype" w:hAnsi="Palatino Linotype" w:cs="Arial"/>
          <w:b/>
          <w:sz w:val="24"/>
          <w:szCs w:val="24"/>
        </w:rPr>
        <w:t xml:space="preserve">JAVIER MARTÍNEZ CRUZ </w:t>
      </w:r>
      <w:r w:rsidR="000607BA" w:rsidRPr="00642D91">
        <w:rPr>
          <w:rFonts w:ascii="Palatino Linotype" w:hAnsi="Palatino Linotype"/>
          <w:b/>
          <w:sz w:val="24"/>
          <w:szCs w:val="24"/>
        </w:rPr>
        <w:t xml:space="preserve">EN RELACIÓN CON LA RESOLUCIÓN DICTADA POR EL PLENO DEL INSTITUTO DE TRANSPARENCIA, ACCESO A LA INFORMACIÓN PÚBLICA Y PROTECCIÓN DE DATOS PERSONALES DEL ESTADO DE MÉXICO Y MUNICIPIOS, EN LA </w:t>
      </w:r>
      <w:r w:rsidR="002C6F84">
        <w:rPr>
          <w:rFonts w:ascii="Palatino Linotype" w:hAnsi="Palatino Linotype"/>
          <w:b/>
          <w:sz w:val="24"/>
          <w:szCs w:val="24"/>
        </w:rPr>
        <w:t>CUADRAGÈSIMA CUARTA</w:t>
      </w:r>
      <w:r w:rsidRPr="00642D91">
        <w:rPr>
          <w:rFonts w:ascii="Palatino Linotype" w:hAnsi="Palatino Linotype"/>
          <w:b/>
          <w:sz w:val="24"/>
          <w:szCs w:val="24"/>
        </w:rPr>
        <w:t xml:space="preserve"> </w:t>
      </w:r>
      <w:r w:rsidR="000607BA" w:rsidRPr="00642D91">
        <w:rPr>
          <w:rFonts w:ascii="Palatino Linotype" w:hAnsi="Palatino Linotype"/>
          <w:b/>
          <w:sz w:val="24"/>
          <w:szCs w:val="24"/>
        </w:rPr>
        <w:t xml:space="preserve">SESIÓN ORDINARIA DEL </w:t>
      </w:r>
      <w:r w:rsidR="002C6F84">
        <w:rPr>
          <w:rFonts w:ascii="Palatino Linotype" w:hAnsi="Palatino Linotype"/>
          <w:b/>
          <w:sz w:val="24"/>
          <w:szCs w:val="24"/>
        </w:rPr>
        <w:t>VEINTIOCHO DE NOVIEMBRE</w:t>
      </w:r>
      <w:r w:rsidR="00004FA2">
        <w:rPr>
          <w:rFonts w:ascii="Palatino Linotype" w:hAnsi="Palatino Linotype"/>
          <w:b/>
          <w:sz w:val="24"/>
          <w:szCs w:val="24"/>
        </w:rPr>
        <w:t xml:space="preserve"> DE DOS MIL DIECIOCHO,</w:t>
      </w:r>
      <w:r w:rsidR="000607BA" w:rsidRPr="00642D91">
        <w:rPr>
          <w:rFonts w:ascii="Palatino Linotype" w:hAnsi="Palatino Linotype"/>
          <w:b/>
          <w:sz w:val="24"/>
          <w:szCs w:val="24"/>
        </w:rPr>
        <w:t xml:space="preserve"> EN L</w:t>
      </w:r>
      <w:r w:rsidR="005714BE">
        <w:rPr>
          <w:rFonts w:ascii="Palatino Linotype" w:hAnsi="Palatino Linotype"/>
          <w:b/>
          <w:sz w:val="24"/>
          <w:szCs w:val="24"/>
        </w:rPr>
        <w:t>OS</w:t>
      </w:r>
      <w:r w:rsidR="000607BA" w:rsidRPr="00642D91">
        <w:rPr>
          <w:rFonts w:ascii="Palatino Linotype" w:hAnsi="Palatino Linotype"/>
          <w:b/>
          <w:sz w:val="24"/>
          <w:szCs w:val="24"/>
        </w:rPr>
        <w:t xml:space="preserve"> RECURSO</w:t>
      </w:r>
      <w:r w:rsidR="005714BE">
        <w:rPr>
          <w:rFonts w:ascii="Palatino Linotype" w:hAnsi="Palatino Linotype"/>
          <w:b/>
          <w:sz w:val="24"/>
          <w:szCs w:val="24"/>
        </w:rPr>
        <w:t>S</w:t>
      </w:r>
      <w:r w:rsidR="000607BA" w:rsidRPr="00642D91">
        <w:rPr>
          <w:rFonts w:ascii="Palatino Linotype" w:hAnsi="Palatino Linotype"/>
          <w:b/>
          <w:sz w:val="24"/>
          <w:szCs w:val="24"/>
        </w:rPr>
        <w:t xml:space="preserve"> DE REVISIÓN 0</w:t>
      </w:r>
      <w:r w:rsidR="002C6F84">
        <w:rPr>
          <w:rFonts w:ascii="Palatino Linotype" w:hAnsi="Palatino Linotype"/>
          <w:b/>
          <w:sz w:val="24"/>
          <w:szCs w:val="24"/>
        </w:rPr>
        <w:t>3502</w:t>
      </w:r>
      <w:r w:rsidR="000607BA" w:rsidRPr="00642D91">
        <w:rPr>
          <w:rFonts w:ascii="Palatino Linotype" w:hAnsi="Palatino Linotype"/>
          <w:b/>
          <w:sz w:val="24"/>
          <w:szCs w:val="24"/>
        </w:rPr>
        <w:t>/INFOEM/IP/RR/201</w:t>
      </w:r>
      <w:r w:rsidR="002C6F84">
        <w:rPr>
          <w:rFonts w:ascii="Palatino Linotype" w:hAnsi="Palatino Linotype"/>
          <w:b/>
          <w:sz w:val="24"/>
          <w:szCs w:val="24"/>
        </w:rPr>
        <w:t>8</w:t>
      </w:r>
      <w:r w:rsidR="005714BE">
        <w:rPr>
          <w:rFonts w:ascii="Palatino Linotype" w:hAnsi="Palatino Linotype"/>
          <w:b/>
          <w:sz w:val="24"/>
          <w:szCs w:val="24"/>
        </w:rPr>
        <w:t xml:space="preserve"> y </w:t>
      </w:r>
      <w:r w:rsidR="005714BE" w:rsidRPr="00642D91">
        <w:rPr>
          <w:rFonts w:ascii="Palatino Linotype" w:hAnsi="Palatino Linotype"/>
          <w:b/>
          <w:sz w:val="24"/>
          <w:szCs w:val="24"/>
        </w:rPr>
        <w:t>0</w:t>
      </w:r>
      <w:r w:rsidR="002C6F84">
        <w:rPr>
          <w:rFonts w:ascii="Palatino Linotype" w:hAnsi="Palatino Linotype"/>
          <w:b/>
          <w:sz w:val="24"/>
          <w:szCs w:val="24"/>
        </w:rPr>
        <w:t>3506</w:t>
      </w:r>
      <w:r w:rsidR="005714BE" w:rsidRPr="00642D91">
        <w:rPr>
          <w:rFonts w:ascii="Palatino Linotype" w:hAnsi="Palatino Linotype"/>
          <w:b/>
          <w:sz w:val="24"/>
          <w:szCs w:val="24"/>
        </w:rPr>
        <w:t>/INFOEM/IP/RR/201</w:t>
      </w:r>
      <w:r w:rsidR="002C6F84">
        <w:rPr>
          <w:rFonts w:ascii="Palatino Linotype" w:hAnsi="Palatino Linotype"/>
          <w:b/>
          <w:sz w:val="24"/>
          <w:szCs w:val="24"/>
        </w:rPr>
        <w:t>8</w:t>
      </w:r>
      <w:r w:rsidR="000607BA" w:rsidRPr="00642D91">
        <w:rPr>
          <w:rFonts w:ascii="Palatino Linotype" w:hAnsi="Palatino Linotype"/>
          <w:b/>
          <w:sz w:val="24"/>
          <w:szCs w:val="24"/>
        </w:rPr>
        <w:t>.</w:t>
      </w:r>
    </w:p>
    <w:p w:rsidR="002C6F84" w:rsidRPr="00BA7D46" w:rsidRDefault="00C47969" w:rsidP="002C6F84">
      <w:pPr>
        <w:pStyle w:val="Prrafodelista"/>
        <w:spacing w:before="240" w:after="240" w:line="360" w:lineRule="auto"/>
        <w:ind w:left="0" w:right="-6"/>
        <w:contextualSpacing w:val="0"/>
        <w:jc w:val="both"/>
        <w:rPr>
          <w:rFonts w:ascii="Palatino Linotype" w:hAnsi="Palatino Linotype"/>
          <w:i/>
          <w:iCs/>
          <w:color w:val="222222"/>
          <w:sz w:val="22"/>
          <w:szCs w:val="22"/>
          <w:shd w:val="clear" w:color="auto" w:fill="FFFFFF"/>
        </w:rPr>
      </w:pPr>
      <w:r>
        <w:rPr>
          <w:rFonts w:ascii="Palatino Linotype" w:hAnsi="Palatino Linotype"/>
        </w:rPr>
        <w:t xml:space="preserve">El Pleno del Instituto de Transparencia, Acceso a la Información Pública y Protección de Datos Personales del Estado de </w:t>
      </w:r>
      <w:r w:rsidR="00004FA2">
        <w:rPr>
          <w:rFonts w:ascii="Palatino Linotype" w:hAnsi="Palatino Linotype"/>
        </w:rPr>
        <w:t>México y Municipios, aprobó por unanimidad</w:t>
      </w:r>
      <w:r>
        <w:rPr>
          <w:rFonts w:ascii="Palatino Linotype" w:hAnsi="Palatino Linotype"/>
        </w:rPr>
        <w:t xml:space="preserve"> </w:t>
      </w:r>
      <w:r w:rsidR="002C6F84">
        <w:rPr>
          <w:rFonts w:ascii="Palatino Linotype" w:hAnsi="Palatino Linotype"/>
        </w:rPr>
        <w:t>revocar y modificar las respuestas de la Secretaría de Desarrollo Urbano y Metropolitano que atienden las solicitudes de información con número de folio</w:t>
      </w:r>
      <w:r w:rsidR="00004FA2">
        <w:rPr>
          <w:rFonts w:ascii="Palatino Linotype" w:hAnsi="Palatino Linotype"/>
        </w:rPr>
        <w:t xml:space="preserve"> </w:t>
      </w:r>
      <w:r w:rsidR="002C6F84" w:rsidRPr="002C6F84">
        <w:rPr>
          <w:rFonts w:ascii="Palatino Linotype" w:hAnsi="Palatino Linotype"/>
          <w:bCs/>
        </w:rPr>
        <w:t>00262/SEDUM/IP/2018</w:t>
      </w:r>
      <w:r w:rsidR="002C6F84" w:rsidRPr="002C6F84">
        <w:rPr>
          <w:rFonts w:ascii="Palatino Linotype" w:hAnsi="Palatino Linotype" w:cs="Arial"/>
        </w:rPr>
        <w:t xml:space="preserve"> y </w:t>
      </w:r>
      <w:r w:rsidR="002C6F84" w:rsidRPr="002C6F84">
        <w:rPr>
          <w:rFonts w:ascii="Palatino Linotype" w:hAnsi="Palatino Linotype"/>
          <w:bCs/>
        </w:rPr>
        <w:t>00263/SEDUM/IP/2018</w:t>
      </w:r>
      <w:r w:rsidR="004C276D">
        <w:rPr>
          <w:rFonts w:ascii="Palatino Linotype" w:hAnsi="Palatino Linotype"/>
          <w:bCs/>
        </w:rPr>
        <w:t xml:space="preserve">, lo que </w:t>
      </w:r>
      <w:r w:rsidR="002C6F84">
        <w:rPr>
          <w:rFonts w:ascii="Palatino Linotype" w:hAnsi="Palatino Linotype"/>
          <w:bCs/>
        </w:rPr>
        <w:t>trajo como consecuenci</w:t>
      </w:r>
      <w:r w:rsidR="004C276D">
        <w:rPr>
          <w:rFonts w:ascii="Palatino Linotype" w:hAnsi="Palatino Linotype"/>
          <w:bCs/>
        </w:rPr>
        <w:t>a que se ordenara</w:t>
      </w:r>
      <w:r w:rsidR="002C6F84">
        <w:rPr>
          <w:rFonts w:ascii="Palatino Linotype" w:hAnsi="Palatino Linotype"/>
          <w:bCs/>
        </w:rPr>
        <w:t xml:space="preserve"> </w:t>
      </w:r>
      <w:r w:rsidR="002C6F84" w:rsidRPr="00BA7D46">
        <w:rPr>
          <w:rFonts w:ascii="Palatino Linotype" w:hAnsi="Palatino Linotype"/>
          <w:b/>
          <w:bCs/>
        </w:rPr>
        <w:t xml:space="preserve"> </w:t>
      </w:r>
      <w:r w:rsidR="002C6F84">
        <w:rPr>
          <w:rFonts w:ascii="Palatino Linotype" w:hAnsi="Palatino Linotype"/>
          <w:b/>
          <w:bCs/>
        </w:rPr>
        <w:t>“</w:t>
      </w:r>
      <w:r w:rsidR="002C6F84" w:rsidRPr="00BA7D46">
        <w:rPr>
          <w:rFonts w:ascii="Palatino Linotype" w:hAnsi="Palatino Linotype" w:cs="Arial"/>
          <w:i/>
          <w:sz w:val="22"/>
        </w:rPr>
        <w:t>Las constancias de viabilidad emitidas para el Municipio de Temascalapa del 1 de enero de 2003 al 27 de agosto de 2018, con los documentos que integren sus respectivos expedientes</w:t>
      </w:r>
      <w:r w:rsidR="002C6F84">
        <w:rPr>
          <w:rFonts w:ascii="Palatino Linotype" w:hAnsi="Palatino Linotype" w:cs="Arial"/>
          <w:i/>
          <w:sz w:val="22"/>
        </w:rPr>
        <w:t>, l</w:t>
      </w:r>
      <w:r w:rsidR="002C6F84" w:rsidRPr="00BA7D46">
        <w:rPr>
          <w:rFonts w:ascii="Palatino Linotype" w:hAnsi="Palatino Linotype"/>
          <w:i/>
          <w:iCs/>
          <w:color w:val="222222"/>
          <w:sz w:val="22"/>
          <w:szCs w:val="22"/>
          <w:shd w:val="clear" w:color="auto" w:fill="FFFFFF"/>
        </w:rPr>
        <w:t>os expedientes formados con motivo de las solicitudes de autorización de conjuntos urbanos o proyectos semejantes para el municipio de Temascalapa aprobados, con los documentos soporte, del 1 de enero de 2003 al 27 de agosto de 2018</w:t>
      </w:r>
      <w:r w:rsidR="002C6F84">
        <w:rPr>
          <w:rFonts w:ascii="Palatino Linotype" w:hAnsi="Palatino Linotype"/>
          <w:i/>
          <w:iCs/>
          <w:color w:val="222222"/>
          <w:sz w:val="22"/>
          <w:szCs w:val="22"/>
          <w:shd w:val="clear" w:color="auto" w:fill="FFFFFF"/>
        </w:rPr>
        <w:t xml:space="preserve"> y l</w:t>
      </w:r>
      <w:r w:rsidR="002C6F84" w:rsidRPr="00BA7D46">
        <w:rPr>
          <w:rFonts w:ascii="Palatino Linotype" w:hAnsi="Palatino Linotype"/>
          <w:i/>
          <w:iCs/>
          <w:color w:val="222222"/>
          <w:sz w:val="22"/>
          <w:szCs w:val="22"/>
          <w:shd w:val="clear" w:color="auto" w:fill="FFFFFF"/>
        </w:rPr>
        <w:t>os expedientes derivados de las solicitudes de autorización de conjuntos urbanos o proyectos semejantes para el municipio de Temascalapa negados, con los documentos soporte, del 1 de enero de 2003 al 27 de agosto de 2018.</w:t>
      </w:r>
      <w:r w:rsidR="002C6F84">
        <w:rPr>
          <w:rFonts w:ascii="Palatino Linotype" w:hAnsi="Palatino Linotype"/>
          <w:i/>
          <w:iCs/>
          <w:color w:val="222222"/>
          <w:sz w:val="22"/>
          <w:szCs w:val="22"/>
          <w:shd w:val="clear" w:color="auto" w:fill="FFFFFF"/>
        </w:rPr>
        <w:t>”</w:t>
      </w:r>
    </w:p>
    <w:p w:rsidR="00C47969" w:rsidRPr="00004FA2" w:rsidRDefault="00004FA2" w:rsidP="001E28B6">
      <w:pPr>
        <w:spacing w:before="240" w:after="240" w:line="360" w:lineRule="auto"/>
        <w:jc w:val="both"/>
        <w:rPr>
          <w:rFonts w:ascii="Palatino Linotype" w:eastAsia="Arial Unicode MS" w:hAnsi="Palatino Linotype" w:cs="Arial"/>
          <w:i/>
          <w:sz w:val="24"/>
          <w:szCs w:val="24"/>
        </w:rPr>
      </w:pPr>
      <w:r>
        <w:rPr>
          <w:rFonts w:ascii="Palatino Linotype" w:hAnsi="Palatino Linotype"/>
          <w:i/>
          <w:sz w:val="24"/>
          <w:szCs w:val="24"/>
        </w:rPr>
        <w:t>.</w:t>
      </w:r>
    </w:p>
    <w:p w:rsidR="00041D4E" w:rsidRPr="00041D4E" w:rsidRDefault="00C47969" w:rsidP="000E44AD">
      <w:pPr>
        <w:spacing w:before="240" w:after="240" w:line="360" w:lineRule="auto"/>
        <w:jc w:val="both"/>
        <w:rPr>
          <w:rFonts w:ascii="Palatino Linotype" w:eastAsia="Arial Unicode MS" w:hAnsi="Palatino Linotype" w:cs="Arial"/>
          <w:i/>
          <w:sz w:val="24"/>
          <w:szCs w:val="24"/>
        </w:rPr>
      </w:pPr>
      <w:r>
        <w:rPr>
          <w:rFonts w:ascii="Palatino Linotype" w:eastAsia="Arial Unicode MS" w:hAnsi="Palatino Linotype" w:cs="Arial"/>
          <w:sz w:val="24"/>
          <w:szCs w:val="24"/>
        </w:rPr>
        <w:lastRenderedPageBreak/>
        <w:t xml:space="preserve">Al respecto, se comparten los términos en que </w:t>
      </w:r>
      <w:r w:rsidR="00F966B7">
        <w:rPr>
          <w:rFonts w:ascii="Palatino Linotype" w:eastAsia="Arial Unicode MS" w:hAnsi="Palatino Linotype" w:cs="Arial"/>
          <w:sz w:val="24"/>
          <w:szCs w:val="24"/>
        </w:rPr>
        <w:t>fue</w:t>
      </w:r>
      <w:r w:rsidR="005714BE">
        <w:rPr>
          <w:rFonts w:ascii="Palatino Linotype" w:eastAsia="Arial Unicode MS" w:hAnsi="Palatino Linotype" w:cs="Arial"/>
          <w:sz w:val="24"/>
          <w:szCs w:val="24"/>
        </w:rPr>
        <w:t>ron</w:t>
      </w:r>
      <w:r w:rsidR="00F966B7">
        <w:rPr>
          <w:rFonts w:ascii="Palatino Linotype" w:eastAsia="Arial Unicode MS" w:hAnsi="Palatino Linotype" w:cs="Arial"/>
          <w:sz w:val="24"/>
          <w:szCs w:val="24"/>
        </w:rPr>
        <w:t xml:space="preserve"> resuelto</w:t>
      </w:r>
      <w:r w:rsidR="005714BE">
        <w:rPr>
          <w:rFonts w:ascii="Palatino Linotype" w:eastAsia="Arial Unicode MS" w:hAnsi="Palatino Linotype" w:cs="Arial"/>
          <w:sz w:val="24"/>
          <w:szCs w:val="24"/>
        </w:rPr>
        <w:t>s</w:t>
      </w:r>
      <w:r>
        <w:rPr>
          <w:rFonts w:ascii="Palatino Linotype" w:eastAsia="Arial Unicode MS" w:hAnsi="Palatino Linotype" w:cs="Arial"/>
          <w:sz w:val="24"/>
          <w:szCs w:val="24"/>
        </w:rPr>
        <w:t xml:space="preserve"> l</w:t>
      </w:r>
      <w:r w:rsidR="005714BE">
        <w:rPr>
          <w:rFonts w:ascii="Palatino Linotype" w:eastAsia="Arial Unicode MS" w:hAnsi="Palatino Linotype" w:cs="Arial"/>
          <w:sz w:val="24"/>
          <w:szCs w:val="24"/>
        </w:rPr>
        <w:t>os</w:t>
      </w:r>
      <w:r>
        <w:rPr>
          <w:rFonts w:ascii="Palatino Linotype" w:eastAsia="Arial Unicode MS" w:hAnsi="Palatino Linotype" w:cs="Arial"/>
          <w:sz w:val="24"/>
          <w:szCs w:val="24"/>
        </w:rPr>
        <w:t xml:space="preserve"> recurso</w:t>
      </w:r>
      <w:r w:rsidR="005714BE">
        <w:rPr>
          <w:rFonts w:ascii="Palatino Linotype" w:eastAsia="Arial Unicode MS" w:hAnsi="Palatino Linotype" w:cs="Arial"/>
          <w:sz w:val="24"/>
          <w:szCs w:val="24"/>
        </w:rPr>
        <w:t>s</w:t>
      </w:r>
      <w:r>
        <w:rPr>
          <w:rFonts w:ascii="Palatino Linotype" w:eastAsia="Arial Unicode MS" w:hAnsi="Palatino Linotype" w:cs="Arial"/>
          <w:sz w:val="24"/>
          <w:szCs w:val="24"/>
        </w:rPr>
        <w:t xml:space="preserve"> de revisión, </w:t>
      </w:r>
      <w:r w:rsidR="00CF1906">
        <w:rPr>
          <w:rFonts w:ascii="Palatino Linotype" w:eastAsia="Arial Unicode MS" w:hAnsi="Palatino Linotype" w:cs="Arial"/>
          <w:sz w:val="24"/>
          <w:szCs w:val="24"/>
        </w:rPr>
        <w:t>s</w:t>
      </w:r>
      <w:r w:rsidR="00132EFB">
        <w:rPr>
          <w:rFonts w:ascii="Palatino Linotype" w:eastAsia="Arial Unicode MS" w:hAnsi="Palatino Linotype" w:cs="Arial"/>
          <w:sz w:val="24"/>
          <w:szCs w:val="24"/>
        </w:rPr>
        <w:t>in embargo, considero</w:t>
      </w:r>
      <w:r w:rsidR="00CF1906">
        <w:rPr>
          <w:rFonts w:ascii="Palatino Linotype" w:eastAsia="Arial Unicode MS" w:hAnsi="Palatino Linotype" w:cs="Arial"/>
          <w:sz w:val="24"/>
          <w:szCs w:val="24"/>
        </w:rPr>
        <w:t xml:space="preserve"> </w:t>
      </w:r>
      <w:r w:rsidR="001E3257">
        <w:rPr>
          <w:rFonts w:ascii="Palatino Linotype" w:eastAsia="Arial Unicode MS" w:hAnsi="Palatino Linotype" w:cs="Arial"/>
          <w:sz w:val="24"/>
          <w:szCs w:val="24"/>
        </w:rPr>
        <w:t>que se pasó por alto</w:t>
      </w:r>
      <w:r w:rsidR="002C6F84">
        <w:rPr>
          <w:rFonts w:ascii="Palatino Linotype" w:eastAsia="Arial Unicode MS" w:hAnsi="Palatino Linotype" w:cs="Arial"/>
          <w:sz w:val="24"/>
          <w:szCs w:val="24"/>
        </w:rPr>
        <w:t xml:space="preserve"> que al momento de atender la solicitud de información con número de folio</w:t>
      </w:r>
      <w:r w:rsidR="00F932CA">
        <w:rPr>
          <w:rFonts w:ascii="Palatino Linotype" w:eastAsia="Arial Unicode MS" w:hAnsi="Palatino Linotype" w:cs="Arial"/>
          <w:sz w:val="24"/>
          <w:szCs w:val="24"/>
        </w:rPr>
        <w:t xml:space="preserve"> </w:t>
      </w:r>
      <w:r w:rsidR="00F932CA" w:rsidRPr="002C6F84">
        <w:rPr>
          <w:rFonts w:ascii="Palatino Linotype" w:hAnsi="Palatino Linotype"/>
          <w:bCs/>
        </w:rPr>
        <w:t>00263/SEDUM/IP/2018</w:t>
      </w:r>
      <w:r w:rsidR="00F932CA">
        <w:rPr>
          <w:rFonts w:ascii="Palatino Linotype" w:hAnsi="Palatino Linotype"/>
          <w:bCs/>
        </w:rPr>
        <w:t xml:space="preserve">, el Sujeto Obligado dejo visibles las claves catastrales en los </w:t>
      </w:r>
      <w:r w:rsidR="00F932CA" w:rsidRPr="00F932CA">
        <w:rPr>
          <w:rFonts w:ascii="Palatino Linotype" w:hAnsi="Palatino Linotype"/>
          <w:bCs/>
          <w:i/>
        </w:rPr>
        <w:t>“Datos del Padrón Catastral”</w:t>
      </w:r>
      <w:r w:rsidR="00F932CA">
        <w:rPr>
          <w:rFonts w:ascii="Palatino Linotype" w:eastAsia="Arial Unicode MS" w:hAnsi="Palatino Linotype" w:cs="Arial"/>
          <w:sz w:val="24"/>
          <w:szCs w:val="24"/>
        </w:rPr>
        <w:t>, lo que consecuentemente a mi parecer, vulnera el derecho a la protección de datos personales.</w:t>
      </w:r>
    </w:p>
    <w:p w:rsidR="00DD0C86" w:rsidRDefault="00041D4E" w:rsidP="00214842">
      <w:pPr>
        <w:spacing w:before="240" w:line="360" w:lineRule="auto"/>
        <w:ind w:right="-93"/>
        <w:jc w:val="both"/>
        <w:rPr>
          <w:rFonts w:ascii="Palatino Linotype" w:eastAsia="Calibri" w:hAnsi="Palatino Linotype" w:cs="Tahoma"/>
          <w:bCs/>
          <w:sz w:val="23"/>
          <w:szCs w:val="23"/>
        </w:rPr>
      </w:pPr>
      <w:r>
        <w:rPr>
          <w:rFonts w:ascii="Palatino Linotype" w:eastAsia="Arial Unicode MS" w:hAnsi="Palatino Linotype" w:cs="Arial"/>
          <w:sz w:val="24"/>
          <w:szCs w:val="24"/>
        </w:rPr>
        <w:t>Bajo este contexto, es necesario</w:t>
      </w:r>
      <w:r w:rsidR="00CF1906">
        <w:rPr>
          <w:rFonts w:ascii="Palatino Linotype" w:eastAsia="Arial Unicode MS" w:hAnsi="Palatino Linotype" w:cs="Arial"/>
          <w:sz w:val="24"/>
          <w:szCs w:val="24"/>
        </w:rPr>
        <w:t xml:space="preserve"> hacer referencia a lo prescrito en </w:t>
      </w:r>
      <w:r w:rsidR="00214842" w:rsidRPr="00531A9E">
        <w:rPr>
          <w:rFonts w:ascii="Palatino Linotype" w:eastAsia="Calibri" w:hAnsi="Palatino Linotype" w:cs="Tahoma"/>
          <w:bCs/>
          <w:sz w:val="23"/>
          <w:szCs w:val="23"/>
        </w:rPr>
        <w:t xml:space="preserve">el artículo 179 fracción I del Código Financiero del Estado de México y Municipios, </w:t>
      </w:r>
      <w:r w:rsidR="00DD0C86">
        <w:rPr>
          <w:rFonts w:ascii="Palatino Linotype" w:eastAsia="Calibri" w:hAnsi="Palatino Linotype" w:cs="Tahoma"/>
          <w:bCs/>
          <w:sz w:val="23"/>
          <w:szCs w:val="23"/>
        </w:rPr>
        <w:t>que a la letra dispone lo siguiente:</w:t>
      </w:r>
    </w:p>
    <w:p w:rsidR="00DD0C86" w:rsidRDefault="00DD0C86" w:rsidP="00DD0C86">
      <w:pPr>
        <w:spacing w:after="120" w:line="240" w:lineRule="auto"/>
        <w:ind w:left="851" w:right="992"/>
        <w:jc w:val="both"/>
        <w:rPr>
          <w:rFonts w:ascii="Palatino Linotype" w:hAnsi="Palatino Linotype"/>
          <w:i/>
          <w:sz w:val="20"/>
          <w:szCs w:val="20"/>
        </w:rPr>
      </w:pPr>
      <w:r>
        <w:rPr>
          <w:rFonts w:ascii="Palatino Linotype" w:hAnsi="Palatino Linotype"/>
          <w:b/>
          <w:i/>
          <w:sz w:val="20"/>
          <w:szCs w:val="20"/>
        </w:rPr>
        <w:t>“</w:t>
      </w:r>
      <w:r w:rsidRPr="00DD0C86">
        <w:rPr>
          <w:rFonts w:ascii="Palatino Linotype" w:hAnsi="Palatino Linotype"/>
          <w:b/>
          <w:i/>
          <w:sz w:val="20"/>
          <w:szCs w:val="20"/>
        </w:rPr>
        <w:t>Artículo 179.-</w:t>
      </w:r>
      <w:r w:rsidRPr="00DD0C86">
        <w:rPr>
          <w:rFonts w:ascii="Palatino Linotype" w:hAnsi="Palatino Linotype"/>
          <w:i/>
          <w:sz w:val="20"/>
          <w:szCs w:val="20"/>
        </w:rPr>
        <w:t xml:space="preserve"> En términos de este capítulo, en lo sucesivo, salvo mención expresa, se entenderá por: </w:t>
      </w:r>
    </w:p>
    <w:p w:rsidR="00DD0C86" w:rsidRPr="00DD0C86" w:rsidRDefault="00DD0C86" w:rsidP="00DD0C86">
      <w:pPr>
        <w:spacing w:after="120" w:line="240" w:lineRule="auto"/>
        <w:ind w:left="1134" w:right="992"/>
        <w:jc w:val="both"/>
        <w:rPr>
          <w:rFonts w:ascii="Palatino Linotype" w:eastAsia="Calibri" w:hAnsi="Palatino Linotype" w:cs="Tahoma"/>
          <w:bCs/>
          <w:i/>
          <w:sz w:val="20"/>
          <w:szCs w:val="20"/>
        </w:rPr>
      </w:pPr>
      <w:r w:rsidRPr="00DD0C86">
        <w:rPr>
          <w:rFonts w:ascii="Palatino Linotype" w:hAnsi="Palatino Linotype"/>
          <w:i/>
          <w:sz w:val="20"/>
          <w:szCs w:val="20"/>
        </w:rPr>
        <w:t>I. Clave catastral.- El código alfanumérico único e irrepetible y está compuesto de dieciséis caracteres, que se asigna para efectos de localización geográfica, identificación, inscripción, control y registro de los inmuebles; los diez primeros deben ser caracteres numéricos y los seis últimos pueden ser alfanuméricos; su integración corresponde invariablemente y en estricto orden, a esta estructura: los tres primeros identifican al código del municipio, las dos siguientes a la zona catastral, los tres que siguen a la manzana y los dos siguientes al número de lote o predio; cuando se trate de condominios, las siguientes dos posiciones identifican el edificio y las cuatro últimas el número de departamento, en los casos de propiedades individuales estos seis últimos caracteres se codifican con ceros</w:t>
      </w:r>
      <w:r>
        <w:rPr>
          <w:rFonts w:ascii="Palatino Linotype" w:hAnsi="Palatino Linotype"/>
          <w:i/>
          <w:sz w:val="20"/>
          <w:szCs w:val="20"/>
        </w:rPr>
        <w:t>…”</w:t>
      </w:r>
    </w:p>
    <w:p w:rsidR="00DD0C86" w:rsidRDefault="00DD0C86" w:rsidP="00214842">
      <w:pPr>
        <w:spacing w:before="240" w:line="360" w:lineRule="auto"/>
        <w:ind w:right="-93"/>
        <w:jc w:val="both"/>
        <w:rPr>
          <w:rFonts w:ascii="Palatino Linotype" w:eastAsia="Calibri" w:hAnsi="Palatino Linotype" w:cs="Tahoma"/>
          <w:bCs/>
          <w:sz w:val="23"/>
          <w:szCs w:val="23"/>
        </w:rPr>
      </w:pPr>
      <w:r>
        <w:rPr>
          <w:rFonts w:ascii="Palatino Linotype" w:eastAsia="Calibri" w:hAnsi="Palatino Linotype" w:cs="Tahoma"/>
          <w:bCs/>
          <w:sz w:val="23"/>
          <w:szCs w:val="23"/>
        </w:rPr>
        <w:t xml:space="preserve">Entonces la clave catastral, es </w:t>
      </w:r>
      <w:r w:rsidR="00214842" w:rsidRPr="00531A9E">
        <w:rPr>
          <w:rFonts w:ascii="Palatino Linotype" w:eastAsia="Calibri" w:hAnsi="Palatino Linotype" w:cs="Tahoma"/>
          <w:bCs/>
          <w:sz w:val="23"/>
          <w:szCs w:val="23"/>
        </w:rPr>
        <w:t>un código al</w:t>
      </w:r>
      <w:r>
        <w:rPr>
          <w:rFonts w:ascii="Palatino Linotype" w:eastAsia="Calibri" w:hAnsi="Palatino Linotype" w:cs="Tahoma"/>
          <w:bCs/>
          <w:sz w:val="23"/>
          <w:szCs w:val="23"/>
        </w:rPr>
        <w:t xml:space="preserve">fanumérico único e irrepetible, </w:t>
      </w:r>
      <w:r w:rsidR="00214842" w:rsidRPr="00531A9E">
        <w:rPr>
          <w:rFonts w:ascii="Palatino Linotype" w:eastAsia="Calibri" w:hAnsi="Palatino Linotype" w:cs="Tahoma"/>
          <w:bCs/>
          <w:sz w:val="23"/>
          <w:szCs w:val="23"/>
        </w:rPr>
        <w:t>que se asigna para efectos de localización geográfica, identificación, inscripción, control y registro de los inmuebles; integrado de dieciséis caracteres, los primeros tres identifican el código del municipio, los dos siguientes a la zona catastral, los subsecuentes tres a la manzana y los últimos dos, posiciones identifi</w:t>
      </w:r>
      <w:r>
        <w:rPr>
          <w:rFonts w:ascii="Palatino Linotype" w:eastAsia="Calibri" w:hAnsi="Palatino Linotype" w:cs="Tahoma"/>
          <w:bCs/>
          <w:sz w:val="23"/>
          <w:szCs w:val="23"/>
        </w:rPr>
        <w:t xml:space="preserve">can el número de lote o predio. </w:t>
      </w:r>
    </w:p>
    <w:p w:rsidR="00DD0C86" w:rsidRDefault="00DD0C86" w:rsidP="00DD0C86">
      <w:pPr>
        <w:spacing w:before="240" w:after="240" w:line="360" w:lineRule="auto"/>
        <w:jc w:val="both"/>
        <w:rPr>
          <w:rFonts w:ascii="Palatino Linotype" w:eastAsia="Calibri" w:hAnsi="Palatino Linotype" w:cs="Tahoma"/>
          <w:bCs/>
          <w:sz w:val="23"/>
          <w:szCs w:val="23"/>
        </w:rPr>
      </w:pPr>
      <w:r>
        <w:rPr>
          <w:rFonts w:ascii="Palatino Linotype" w:eastAsia="Calibri" w:hAnsi="Palatino Linotype" w:cs="Tahoma"/>
          <w:bCs/>
          <w:sz w:val="23"/>
          <w:szCs w:val="23"/>
        </w:rPr>
        <w:lastRenderedPageBreak/>
        <w:t xml:space="preserve">En ese sentido, la clave catastral permite la identificación de un </w:t>
      </w:r>
      <w:r w:rsidR="00214842" w:rsidRPr="00531A9E">
        <w:rPr>
          <w:rFonts w:ascii="Palatino Linotype" w:eastAsia="Calibri" w:hAnsi="Palatino Linotype" w:cs="Tahoma"/>
          <w:bCs/>
          <w:sz w:val="23"/>
          <w:szCs w:val="23"/>
        </w:rPr>
        <w:t>terreno</w:t>
      </w:r>
      <w:r>
        <w:rPr>
          <w:rFonts w:ascii="Palatino Linotype" w:eastAsia="Calibri" w:hAnsi="Palatino Linotype" w:cs="Tahoma"/>
          <w:bCs/>
          <w:sz w:val="23"/>
          <w:szCs w:val="23"/>
        </w:rPr>
        <w:t xml:space="preserve">, por lo que pudiera concluirse que no vulnera la protección a datos personales, sin embargo, es necesario mencionar </w:t>
      </w:r>
      <w:r w:rsidR="00214842" w:rsidRPr="00531A9E">
        <w:rPr>
          <w:rFonts w:ascii="Palatino Linotype" w:eastAsia="Calibri" w:hAnsi="Palatino Linotype" w:cs="Tahoma"/>
          <w:bCs/>
          <w:sz w:val="23"/>
          <w:szCs w:val="23"/>
        </w:rPr>
        <w:t xml:space="preserve"> </w:t>
      </w:r>
      <w:r w:rsidRPr="00531A9E">
        <w:rPr>
          <w:rFonts w:ascii="Palatino Linotype" w:eastAsia="Calibri" w:hAnsi="Palatino Linotype" w:cs="Tahoma"/>
          <w:bCs/>
          <w:sz w:val="23"/>
          <w:szCs w:val="23"/>
        </w:rPr>
        <w:t xml:space="preserve">que los propietarios o poseedores de inmuebles, independientemente del régimen jurídico de propiedad, ubicados en territorio del Estado, están obligados a inscribirlos ante el catastro del Ayuntamiento, </w:t>
      </w:r>
      <w:r w:rsidRPr="00531A9E">
        <w:rPr>
          <w:rFonts w:ascii="Palatino Linotype" w:eastAsia="Calibri" w:hAnsi="Palatino Linotype" w:cs="Tahoma"/>
          <w:b/>
          <w:bCs/>
          <w:sz w:val="23"/>
          <w:szCs w:val="23"/>
          <w:u w:val="single"/>
        </w:rPr>
        <w:t>mediante manifestación catastral</w:t>
      </w:r>
      <w:r w:rsidRPr="00531A9E">
        <w:rPr>
          <w:rFonts w:ascii="Palatino Linotype" w:eastAsia="Calibri" w:hAnsi="Palatino Linotype" w:cs="Tahoma"/>
          <w:bCs/>
          <w:sz w:val="23"/>
          <w:szCs w:val="23"/>
        </w:rPr>
        <w:t xml:space="preserve"> que presenten de acuerdo a lo dispuesto en el Reglamento del Título Quinto del Código Financiero y al procedimiento establecido en el Manual Catastral, en los formatos autorizados por el IGECEM, </w:t>
      </w:r>
      <w:r w:rsidRPr="00531A9E">
        <w:rPr>
          <w:rFonts w:ascii="Palatino Linotype" w:eastAsia="Calibri" w:hAnsi="Palatino Linotype" w:cs="Tahoma"/>
          <w:b/>
          <w:bCs/>
          <w:sz w:val="23"/>
          <w:szCs w:val="23"/>
          <w:u w:val="single"/>
        </w:rPr>
        <w:t>precisando las superficies del terreno y de la construcción, su ubicación, y uso de suelo</w:t>
      </w:r>
      <w:r w:rsidRPr="00531A9E">
        <w:rPr>
          <w:rFonts w:ascii="Palatino Linotype" w:eastAsia="Calibri" w:hAnsi="Palatino Linotype" w:cs="Tahoma"/>
          <w:bCs/>
          <w:sz w:val="23"/>
          <w:szCs w:val="23"/>
        </w:rPr>
        <w:t>, si es a título de propietario o poseedor y demás datos solicitados, exhibiendo la documentación requerida para estos efectos</w:t>
      </w:r>
      <w:r>
        <w:rPr>
          <w:rFonts w:ascii="Palatino Linotype" w:eastAsia="Calibri" w:hAnsi="Palatino Linotype" w:cs="Tahoma"/>
          <w:bCs/>
          <w:sz w:val="23"/>
          <w:szCs w:val="23"/>
        </w:rPr>
        <w:t>.</w:t>
      </w:r>
    </w:p>
    <w:p w:rsidR="00DD0C86" w:rsidRPr="00531A9E" w:rsidRDefault="00DD0C86" w:rsidP="00DD0C86">
      <w:pPr>
        <w:spacing w:before="240" w:after="240" w:line="360" w:lineRule="auto"/>
        <w:jc w:val="both"/>
        <w:rPr>
          <w:rFonts w:ascii="Palatino Linotype" w:eastAsia="Calibri" w:hAnsi="Palatino Linotype" w:cs="Tahoma"/>
          <w:bCs/>
          <w:sz w:val="23"/>
          <w:szCs w:val="23"/>
        </w:rPr>
      </w:pPr>
      <w:r>
        <w:rPr>
          <w:rFonts w:ascii="Palatino Linotype" w:eastAsia="Calibri" w:hAnsi="Palatino Linotype" w:cs="Tahoma"/>
          <w:bCs/>
          <w:sz w:val="23"/>
          <w:szCs w:val="23"/>
        </w:rPr>
        <w:t>P</w:t>
      </w:r>
      <w:r w:rsidRPr="00531A9E">
        <w:rPr>
          <w:rFonts w:ascii="Palatino Linotype" w:eastAsia="Calibri" w:hAnsi="Palatino Linotype" w:cs="Tahoma"/>
          <w:bCs/>
          <w:sz w:val="23"/>
          <w:szCs w:val="23"/>
        </w:rPr>
        <w:t>ara el caso</w:t>
      </w:r>
      <w:r>
        <w:rPr>
          <w:rFonts w:ascii="Palatino Linotype" w:eastAsia="Calibri" w:hAnsi="Palatino Linotype" w:cs="Tahoma"/>
          <w:bCs/>
          <w:sz w:val="23"/>
          <w:szCs w:val="23"/>
        </w:rPr>
        <w:t>,</w:t>
      </w:r>
      <w:r w:rsidRPr="00531A9E">
        <w:rPr>
          <w:rFonts w:ascii="Palatino Linotype" w:eastAsia="Calibri" w:hAnsi="Palatino Linotype" w:cs="Tahoma"/>
          <w:bCs/>
          <w:sz w:val="23"/>
          <w:szCs w:val="23"/>
        </w:rPr>
        <w:t xml:space="preserve"> de que </w:t>
      </w:r>
      <w:r>
        <w:rPr>
          <w:rFonts w:ascii="Palatino Linotype" w:eastAsia="Calibri" w:hAnsi="Palatino Linotype" w:cs="Tahoma"/>
          <w:bCs/>
          <w:sz w:val="23"/>
          <w:szCs w:val="23"/>
        </w:rPr>
        <w:t>s</w:t>
      </w:r>
      <w:r w:rsidRPr="00531A9E">
        <w:rPr>
          <w:rFonts w:ascii="Palatino Linotype" w:eastAsia="Calibri" w:hAnsi="Palatino Linotype" w:cs="Tahoma"/>
          <w:bCs/>
          <w:sz w:val="23"/>
          <w:szCs w:val="23"/>
        </w:rPr>
        <w:t xml:space="preserve">e modifique la superficie de terreno o de construcción, cualquiera que sea la causa, los propietarios o poseedores de esos inmuebles deberán declarar ante la autoridad catastral municipal dichas modificaciones, mediante manifestación catastral que presenten en los formatos autorizados, del mismo modo cuando se fusione, subdivida, lotifique, relotifique, o se produzca una lotificación en condominio o conjunto urbano de un inmueble, mediante autorización que emita la autoridad competente, es necesario actualizar los datos técnicos, administrativos y el valor en el padrón catastral municipal y en su caso, asignar </w:t>
      </w:r>
      <w:r w:rsidRPr="00DA738F">
        <w:rPr>
          <w:b/>
          <w:noProof/>
          <w:sz w:val="24"/>
          <w:szCs w:val="24"/>
          <w:lang w:eastAsia="es-MX"/>
        </w:rPr>
        <mc:AlternateContent>
          <mc:Choice Requires="wps">
            <w:drawing>
              <wp:anchor distT="0" distB="0" distL="114300" distR="114300" simplePos="0" relativeHeight="251660288" behindDoc="1" locked="0" layoutInCell="0" allowOverlap="1" wp14:anchorId="1E4B7FA7" wp14:editId="516CDC18">
                <wp:simplePos x="0" y="0"/>
                <wp:positionH relativeFrom="margin">
                  <wp:align>center</wp:align>
                </wp:positionH>
                <wp:positionV relativeFrom="margin">
                  <wp:align>center</wp:align>
                </wp:positionV>
                <wp:extent cx="7092315" cy="81788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D0C86" w:rsidRDefault="00DD0C86" w:rsidP="00DD0C86">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w:t>
                            </w:r>
                            <w:r w:rsidR="004F5E52">
                              <w:rPr>
                                <w:rFonts w:ascii="Palatino Linotype" w:hAnsi="Palatino Linotype"/>
                                <w:color w:val="A6A6A6" w:themeColor="background1" w:themeShade="A6"/>
                                <w:sz w:val="72"/>
                                <w:szCs w:val="72"/>
                                <w14:textFill>
                                  <w14:solidFill>
                                    <w14:schemeClr w14:val="bg1">
                                      <w14:alpha w14:val="50000"/>
                                      <w14:lumMod w14:val="65000"/>
                                    </w14:schemeClr>
                                  </w14:solidFill>
                                </w14:textFill>
                              </w:rPr>
                              <w:t>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E4B7FA7" id="_x0000_t202" coordsize="21600,21600" o:spt="202" path="m,l,21600r21600,l21600,xe">
                <v:stroke joinstyle="miter"/>
                <v:path gradientshapeok="t" o:connecttype="rect"/>
              </v:shapetype>
              <v:shape id="Cuadro de texto 3" o:spid="_x0000_s1026" type="#_x0000_t202" style="position:absolute;left:0;text-align:left;margin-left:0;margin-top:0;width:558.45pt;height:64.4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" o:allowincell="f" filled="f" stroked="f">
                <v:stroke joinstyle="round"/>
                <o:lock v:ext="edit" shapetype="t"/>
                <v:textbox style="mso-fit-shape-to-text:t">
                  <w:txbxContent>
                    <w:p w:rsidR="00DD0C86" w:rsidRDefault="00DD0C86" w:rsidP="00DD0C86">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w:t>
                      </w:r>
                      <w:r w:rsidR="004F5E52">
                        <w:rPr>
                          <w:rFonts w:ascii="Palatino Linotype" w:hAnsi="Palatino Linotype"/>
                          <w:color w:val="A6A6A6" w:themeColor="background1" w:themeShade="A6"/>
                          <w:sz w:val="72"/>
                          <w:szCs w:val="72"/>
                          <w14:textFill>
                            <w14:solidFill>
                              <w14:schemeClr w14:val="bg1">
                                <w14:alpha w14:val="50000"/>
                                <w14:lumMod w14:val="65000"/>
                              </w14:schemeClr>
                            </w14:solidFill>
                          </w14:textFill>
                        </w:rPr>
                        <w:t>PARTICULAR</w:t>
                      </w:r>
                    </w:p>
                  </w:txbxContent>
                </v:textbox>
                <w10:wrap anchorx="margin" anchory="margin"/>
              </v:shape>
            </w:pict>
          </mc:Fallback>
        </mc:AlternateContent>
      </w:r>
      <w:r w:rsidRPr="00531A9E">
        <w:rPr>
          <w:rFonts w:ascii="Palatino Linotype" w:eastAsia="Calibri" w:hAnsi="Palatino Linotype" w:cs="Tahoma"/>
          <w:bCs/>
          <w:sz w:val="23"/>
          <w:szCs w:val="23"/>
        </w:rPr>
        <w:t>claves e inscribirlos; para tal efecto, los propietarios deberán declarar ante el Ayuntamiento, las modificaciones generadas, mediante manifestación catastral.</w:t>
      </w:r>
    </w:p>
    <w:p w:rsidR="00DD0C86" w:rsidRPr="00531A9E" w:rsidRDefault="00DD0C86" w:rsidP="00DD0C86">
      <w:pPr>
        <w:spacing w:before="240" w:after="240" w:line="360" w:lineRule="auto"/>
        <w:jc w:val="both"/>
        <w:rPr>
          <w:rFonts w:ascii="Palatino Linotype" w:eastAsia="Calibri" w:hAnsi="Palatino Linotype" w:cs="Tahoma"/>
          <w:bCs/>
          <w:sz w:val="23"/>
          <w:szCs w:val="23"/>
        </w:rPr>
      </w:pPr>
      <w:r w:rsidRPr="00531A9E">
        <w:rPr>
          <w:rFonts w:ascii="Palatino Linotype" w:eastAsia="Calibri" w:hAnsi="Palatino Linotype" w:cs="Tahoma"/>
          <w:bCs/>
          <w:sz w:val="23"/>
          <w:szCs w:val="23"/>
        </w:rPr>
        <w:lastRenderedPageBreak/>
        <w:t>En los casos en que el valor catastral haya sido modificado por la actualización de las Tablas de Valores Unitarios de Suelo y Construcciones, publicadas en el periódico oficial, será obligación de los propietarios o poseedores de inmuebles, declarar su valor ante el Ayuntamiento, mediante manifestación de valor catastral que presenten en los formatos autorizados o a través de un avalúo catastral practicado y emitido por el IGECEM o por especialista en valuación inmobiliaria con registro vigente expedido por el propio Instituto.</w:t>
      </w:r>
    </w:p>
    <w:p w:rsidR="00DD0C86" w:rsidRPr="00531A9E" w:rsidRDefault="00DD0C86" w:rsidP="00DD0C86">
      <w:pPr>
        <w:spacing w:before="240" w:after="240" w:line="360" w:lineRule="auto"/>
        <w:contextualSpacing/>
        <w:jc w:val="both"/>
        <w:rPr>
          <w:rFonts w:ascii="Palatino Linotype" w:eastAsia="Calibri" w:hAnsi="Palatino Linotype" w:cs="Tahoma"/>
          <w:bCs/>
          <w:sz w:val="23"/>
          <w:szCs w:val="23"/>
        </w:rPr>
      </w:pPr>
      <w:r w:rsidRPr="00531A9E">
        <w:rPr>
          <w:rFonts w:ascii="Palatino Linotype" w:eastAsia="Calibri" w:hAnsi="Palatino Linotype" w:cs="Tahoma"/>
          <w:bCs/>
          <w:sz w:val="23"/>
          <w:szCs w:val="23"/>
        </w:rPr>
        <w:t>Por su parte el Reglamento del Título Quinto del Código Financiero del Estado de México y Municipios los artículos 26 y 27 del Reglamento en mención establecen lo siguiente:</w:t>
      </w:r>
    </w:p>
    <w:p w:rsidR="00DD0C86" w:rsidRPr="00D32644" w:rsidRDefault="00DD0C86" w:rsidP="00DD0C86">
      <w:pPr>
        <w:spacing w:after="0" w:line="240" w:lineRule="auto"/>
        <w:ind w:left="851" w:right="851"/>
        <w:contextualSpacing/>
        <w:jc w:val="both"/>
        <w:rPr>
          <w:rFonts w:ascii="Palatino Linotype" w:hAnsi="Palatino Linotype"/>
          <w:b/>
          <w:i/>
        </w:rPr>
      </w:pPr>
    </w:p>
    <w:p w:rsidR="00DD0C86" w:rsidRPr="00531A9E" w:rsidRDefault="00DD0C86" w:rsidP="00DD0C86">
      <w:pPr>
        <w:spacing w:after="0" w:line="240" w:lineRule="auto"/>
        <w:ind w:left="851" w:right="851"/>
        <w:contextualSpacing/>
        <w:jc w:val="both"/>
        <w:rPr>
          <w:rFonts w:ascii="Palatino Linotype" w:hAnsi="Palatino Linotype"/>
          <w:i/>
          <w:sz w:val="21"/>
          <w:szCs w:val="21"/>
        </w:rPr>
      </w:pPr>
      <w:r w:rsidRPr="00531A9E">
        <w:rPr>
          <w:rFonts w:ascii="Palatino Linotype" w:hAnsi="Palatino Linotype"/>
          <w:b/>
          <w:i/>
          <w:sz w:val="21"/>
          <w:szCs w:val="21"/>
        </w:rPr>
        <w:t>Artículo 26.-</w:t>
      </w:r>
      <w:r w:rsidRPr="00531A9E">
        <w:rPr>
          <w:rFonts w:ascii="Palatino Linotype" w:hAnsi="Palatino Linotype"/>
          <w:i/>
          <w:sz w:val="21"/>
          <w:szCs w:val="21"/>
        </w:rPr>
        <w:t xml:space="preserve"> Para la inscripción inicial de un inmueble en el padrón catastral municipal, el Catastro Municipal asignará la clave catastral conforme a la estructura determinada en la fracción I del artículo 179 del Código y en todo caso atenderá a los lineamientos y procedimientos establecidos en el Manual Catastral. </w:t>
      </w:r>
    </w:p>
    <w:p w:rsidR="00DD0C86" w:rsidRPr="00531A9E" w:rsidRDefault="00DD0C86" w:rsidP="00DD0C86">
      <w:pPr>
        <w:spacing w:after="0" w:line="240" w:lineRule="auto"/>
        <w:ind w:left="851" w:right="851"/>
        <w:contextualSpacing/>
        <w:jc w:val="both"/>
        <w:rPr>
          <w:rFonts w:ascii="Palatino Linotype" w:hAnsi="Palatino Linotype"/>
          <w:b/>
          <w:i/>
          <w:sz w:val="21"/>
          <w:szCs w:val="21"/>
        </w:rPr>
      </w:pPr>
    </w:p>
    <w:p w:rsidR="00DD0C86" w:rsidRPr="00531A9E" w:rsidRDefault="00DD0C86" w:rsidP="00DD0C86">
      <w:pPr>
        <w:spacing w:after="0" w:line="240" w:lineRule="auto"/>
        <w:ind w:left="851" w:right="851"/>
        <w:contextualSpacing/>
        <w:jc w:val="both"/>
        <w:rPr>
          <w:rFonts w:ascii="Palatino Linotype" w:hAnsi="Palatino Linotype"/>
          <w:i/>
          <w:sz w:val="21"/>
          <w:szCs w:val="21"/>
        </w:rPr>
      </w:pPr>
      <w:r w:rsidRPr="00531A9E">
        <w:rPr>
          <w:rFonts w:ascii="Palatino Linotype" w:hAnsi="Palatino Linotype"/>
          <w:b/>
          <w:i/>
          <w:sz w:val="21"/>
          <w:szCs w:val="21"/>
        </w:rPr>
        <w:t>Artículo 27.-</w:t>
      </w:r>
      <w:r w:rsidRPr="00531A9E">
        <w:rPr>
          <w:rFonts w:ascii="Palatino Linotype" w:hAnsi="Palatino Linotype"/>
          <w:i/>
          <w:sz w:val="21"/>
          <w:szCs w:val="21"/>
        </w:rPr>
        <w:t xml:space="preserve"> La clave catastral invariablemente se inscribirá tanto en el registro gráfico como en el alfanumérico y en su asignación no se permitirán duplicidades.</w:t>
      </w:r>
    </w:p>
    <w:p w:rsidR="00DD0C86" w:rsidRPr="00531A9E" w:rsidRDefault="00DD0C86" w:rsidP="00DD0C86">
      <w:pPr>
        <w:spacing w:after="0" w:line="240" w:lineRule="auto"/>
        <w:ind w:left="851" w:right="851"/>
        <w:contextualSpacing/>
        <w:jc w:val="both"/>
        <w:rPr>
          <w:rFonts w:ascii="Palatino Linotype" w:hAnsi="Palatino Linotype"/>
          <w:i/>
          <w:sz w:val="21"/>
          <w:szCs w:val="21"/>
        </w:rPr>
      </w:pPr>
    </w:p>
    <w:p w:rsidR="00DD0C86" w:rsidRPr="00531A9E" w:rsidRDefault="00DD0C86" w:rsidP="00DD0C86">
      <w:pPr>
        <w:spacing w:after="0" w:line="240" w:lineRule="auto"/>
        <w:ind w:left="851" w:right="851"/>
        <w:contextualSpacing/>
        <w:jc w:val="both"/>
        <w:rPr>
          <w:rFonts w:ascii="Palatino Linotype" w:eastAsia="Calibri" w:hAnsi="Palatino Linotype" w:cs="Tahoma"/>
          <w:bCs/>
          <w:i/>
          <w:sz w:val="21"/>
          <w:szCs w:val="21"/>
        </w:rPr>
      </w:pPr>
      <w:r w:rsidRPr="00531A9E">
        <w:rPr>
          <w:rFonts w:ascii="Palatino Linotype" w:hAnsi="Palatino Linotype"/>
          <w:i/>
          <w:sz w:val="21"/>
          <w:szCs w:val="21"/>
        </w:rPr>
        <w:t>Las asignaciones, bajas y reasignaciones de claves catastrales se realizarán conforme a las políticas y procedimientos que para tal efecto se establecen en el Manual Catastral.</w:t>
      </w:r>
    </w:p>
    <w:p w:rsidR="00DD0C86" w:rsidRPr="00D32644" w:rsidRDefault="00DD0C86" w:rsidP="00DD0C86">
      <w:pPr>
        <w:spacing w:line="276" w:lineRule="auto"/>
        <w:ind w:right="-93"/>
        <w:contextualSpacing/>
        <w:jc w:val="both"/>
        <w:rPr>
          <w:rFonts w:ascii="Palatino Linotype" w:eastAsia="Calibri" w:hAnsi="Palatino Linotype" w:cs="Tahoma"/>
          <w:bCs/>
        </w:rPr>
      </w:pPr>
    </w:p>
    <w:p w:rsidR="00DD0C86" w:rsidRPr="00531A9E" w:rsidRDefault="00DD0C86" w:rsidP="00DD0C86">
      <w:pPr>
        <w:spacing w:before="240" w:after="240" w:line="360" w:lineRule="auto"/>
        <w:jc w:val="both"/>
        <w:rPr>
          <w:rFonts w:ascii="Palatino Linotype" w:eastAsia="Calibri" w:hAnsi="Palatino Linotype" w:cs="Tahoma"/>
          <w:bCs/>
          <w:sz w:val="23"/>
          <w:szCs w:val="23"/>
        </w:rPr>
      </w:pPr>
      <w:r w:rsidRPr="00DA738F">
        <w:rPr>
          <w:b/>
          <w:noProof/>
          <w:sz w:val="24"/>
          <w:szCs w:val="24"/>
          <w:lang w:eastAsia="es-MX"/>
        </w:rPr>
        <mc:AlternateContent>
          <mc:Choice Requires="wps">
            <w:drawing>
              <wp:anchor distT="0" distB="0" distL="114300" distR="114300" simplePos="0" relativeHeight="251659264" behindDoc="1" locked="0" layoutInCell="0" allowOverlap="1" wp14:anchorId="584467EC" wp14:editId="5353B574">
                <wp:simplePos x="0" y="0"/>
                <wp:positionH relativeFrom="margin">
                  <wp:posOffset>-973776</wp:posOffset>
                </wp:positionH>
                <wp:positionV relativeFrom="page">
                  <wp:align>center</wp:align>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D0C86" w:rsidRDefault="004F5E52" w:rsidP="00DD0C86">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84467EC" id="Cuadro de texto 1" o:spid="_x0000_s1027" type="#_x0000_t202" style="position:absolute;left:0;text-align:left;margin-left:-76.7pt;margin-top:0;width:558.45pt;height:64.4pt;rotation:-45;z-index:-251657216;visibility:visible;mso-wrap-style:square;mso-width-percent:0;mso-height-percent:0;mso-wrap-distance-left:9pt;mso-wrap-distance-top:0;mso-wrap-distance-right:9pt;mso-wrap-distance-bottom:0;mso-position-horizontal:absolute;mso-position-horizontal-relative:margin;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MwMkAIAAAo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" o:allowincell="f" filled="f" stroked="f">
                <v:stroke joinstyle="round"/>
                <o:lock v:ext="edit" shapetype="t"/>
                <v:textbox style="mso-fit-shape-to-text:t">
                  <w:txbxContent>
                    <w:p w:rsidR="00DD0C86" w:rsidRDefault="004F5E52" w:rsidP="00DD0C86">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PARTICULAR</w:t>
                      </w:r>
                    </w:p>
                  </w:txbxContent>
                </v:textbox>
                <w10:wrap anchorx="margin" anchory="page"/>
              </v:shape>
            </w:pict>
          </mc:Fallback>
        </mc:AlternateContent>
      </w:r>
      <w:r w:rsidRPr="00531A9E">
        <w:rPr>
          <w:rFonts w:ascii="Palatino Linotype" w:eastAsia="Calibri" w:hAnsi="Palatino Linotype" w:cs="Tahoma"/>
          <w:bCs/>
          <w:sz w:val="23"/>
          <w:szCs w:val="23"/>
        </w:rPr>
        <w:t>De los dispositivos legales en mención se advierte que la inscripción de un inmueble en el padrón catastral, el catastro deberá asignarle una clave catastral conforme a la estructura establecida en el Código Financiero, atendiendo los lineamientos establecido en el Manual Catastral, que en el caso en específico se encuentran precisadas y detalladas en las políticas generales ACC001, ACC002, A</w:t>
      </w:r>
      <w:r w:rsidR="00BF539C">
        <w:rPr>
          <w:rFonts w:ascii="Palatino Linotype" w:eastAsia="Calibri" w:hAnsi="Palatino Linotype" w:cs="Tahoma"/>
          <w:bCs/>
          <w:sz w:val="23"/>
          <w:szCs w:val="23"/>
        </w:rPr>
        <w:t>CC003, ACC004, ACC005 y ACC006.</w:t>
      </w:r>
    </w:p>
    <w:p w:rsidR="00DD0C86" w:rsidRPr="00531A9E" w:rsidRDefault="00DD0C86" w:rsidP="00DD0C86">
      <w:pPr>
        <w:spacing w:before="240" w:after="240" w:line="360" w:lineRule="auto"/>
        <w:jc w:val="both"/>
        <w:rPr>
          <w:rFonts w:ascii="Palatino Linotype" w:hAnsi="Palatino Linotype"/>
          <w:sz w:val="23"/>
          <w:szCs w:val="23"/>
        </w:rPr>
      </w:pPr>
      <w:r w:rsidRPr="00531A9E">
        <w:rPr>
          <w:rFonts w:ascii="Palatino Linotype" w:eastAsia="Calibri" w:hAnsi="Palatino Linotype" w:cs="Tahoma"/>
          <w:bCs/>
          <w:sz w:val="23"/>
          <w:szCs w:val="23"/>
        </w:rPr>
        <w:lastRenderedPageBreak/>
        <w:t>Luego entonces, si bien es cierto la clave catastral es un código alfanumérico único e irrepetible y está compuesto de dieciséis caracteres, que se asignan para efectos de localización geográfica, identificación, inscripción, control y registro de los inmuebles; también cierto es que a través del referido dato se pueden saber otros datos relativos al patrimonio del propietario y/o poseedor de un bien inmueble, lo anterior es así, en razón de que del análisis realizado a la legislación en materia catastral, a través de la clave catastral se puede determinar el importe a pagar por concepto de impuesto predial, uso de suelo que le corresponde a la fracción de terreno en que se encuentra ubicado el inmueble, s</w:t>
      </w:r>
      <w:r w:rsidRPr="00531A9E">
        <w:rPr>
          <w:rFonts w:ascii="Palatino Linotype" w:hAnsi="Palatino Linotype"/>
          <w:sz w:val="23"/>
          <w:szCs w:val="23"/>
        </w:rPr>
        <w:t>uperficie total del terreno, características del terreno, superficie total de construcción y características de la misma, uso específico del predio, valor catastral del terreno y de la construcción.</w:t>
      </w:r>
    </w:p>
    <w:p w:rsidR="00DD0C86" w:rsidRDefault="00DD0C86" w:rsidP="00DD0C86">
      <w:pPr>
        <w:spacing w:before="240" w:after="240" w:line="360" w:lineRule="auto"/>
        <w:jc w:val="both"/>
        <w:rPr>
          <w:rFonts w:ascii="Palatino Linotype" w:hAnsi="Palatino Linotype"/>
          <w:sz w:val="23"/>
          <w:szCs w:val="23"/>
        </w:rPr>
      </w:pPr>
      <w:r w:rsidRPr="00531A9E">
        <w:rPr>
          <w:rFonts w:ascii="Palatino Linotype" w:hAnsi="Palatino Linotype"/>
          <w:sz w:val="23"/>
          <w:szCs w:val="23"/>
        </w:rPr>
        <w:t xml:space="preserve">Razón por la cual </w:t>
      </w:r>
      <w:r w:rsidR="00193838">
        <w:rPr>
          <w:rFonts w:ascii="Palatino Linotype" w:hAnsi="Palatino Linotype"/>
          <w:sz w:val="23"/>
          <w:szCs w:val="23"/>
        </w:rPr>
        <w:t>considero que</w:t>
      </w:r>
      <w:r w:rsidRPr="00531A9E">
        <w:rPr>
          <w:rFonts w:ascii="Palatino Linotype" w:hAnsi="Palatino Linotype"/>
          <w:sz w:val="23"/>
          <w:szCs w:val="23"/>
        </w:rPr>
        <w:t xml:space="preserve"> dicho da</w:t>
      </w:r>
      <w:r>
        <w:rPr>
          <w:rFonts w:ascii="Palatino Linotype" w:hAnsi="Palatino Linotype"/>
          <w:sz w:val="23"/>
          <w:szCs w:val="23"/>
        </w:rPr>
        <w:t>t</w:t>
      </w:r>
      <w:r w:rsidRPr="00531A9E">
        <w:rPr>
          <w:rFonts w:ascii="Palatino Linotype" w:hAnsi="Palatino Linotype"/>
          <w:sz w:val="23"/>
          <w:szCs w:val="23"/>
        </w:rPr>
        <w:t>o deb</w:t>
      </w:r>
      <w:r w:rsidR="00193838">
        <w:rPr>
          <w:rFonts w:ascii="Palatino Linotype" w:hAnsi="Palatino Linotype"/>
          <w:sz w:val="23"/>
          <w:szCs w:val="23"/>
        </w:rPr>
        <w:t>e</w:t>
      </w:r>
      <w:r w:rsidRPr="00531A9E">
        <w:rPr>
          <w:rFonts w:ascii="Palatino Linotype" w:hAnsi="Palatino Linotype"/>
          <w:sz w:val="23"/>
          <w:szCs w:val="23"/>
        </w:rPr>
        <w:t xml:space="preserve"> ser testado, por tratarse de información que pudiera hacer identificable el patrimonio de una persona y con ello por ende transgredir </w:t>
      </w:r>
      <w:r w:rsidR="009765BE">
        <w:rPr>
          <w:rFonts w:ascii="Palatino Linotype" w:hAnsi="Palatino Linotype"/>
          <w:sz w:val="23"/>
          <w:szCs w:val="23"/>
        </w:rPr>
        <w:t>su vida privada</w:t>
      </w:r>
      <w:r w:rsidRPr="00531A9E">
        <w:rPr>
          <w:rFonts w:ascii="Palatino Linotype" w:hAnsi="Palatino Linotype"/>
          <w:sz w:val="23"/>
          <w:szCs w:val="23"/>
        </w:rPr>
        <w:t xml:space="preserve"> al hacerlo público.</w:t>
      </w:r>
    </w:p>
    <w:p w:rsidR="00193838" w:rsidRDefault="00193838" w:rsidP="00193838">
      <w:pPr>
        <w:autoSpaceDE w:val="0"/>
        <w:autoSpaceDN w:val="0"/>
        <w:adjustRightInd w:val="0"/>
        <w:spacing w:line="360" w:lineRule="auto"/>
        <w:jc w:val="both"/>
        <w:rPr>
          <w:rFonts w:ascii="Palatino Linotype" w:hAnsi="Palatino Linotype"/>
          <w:color w:val="222222"/>
          <w:szCs w:val="17"/>
          <w:lang w:eastAsia="es-ES_tradnl"/>
        </w:rPr>
      </w:pPr>
      <w:r>
        <w:rPr>
          <w:rFonts w:ascii="Palatino Linotype" w:hAnsi="Palatino Linotype"/>
          <w:sz w:val="23"/>
          <w:szCs w:val="23"/>
        </w:rPr>
        <w:t xml:space="preserve">En consecuencia, debió darse vista al Órgano de Control Interno del Sujeto Obligado para efectos </w:t>
      </w:r>
      <w:r>
        <w:rPr>
          <w:rFonts w:ascii="Palatino Linotype" w:hAnsi="Palatino Linotype"/>
          <w:color w:val="222222"/>
          <w:szCs w:val="17"/>
          <w:lang w:eastAsia="es-ES_tradnl"/>
        </w:rPr>
        <w:t>de determinar la probable responsabilidad por parte del servidor público habilitado del sujeto obligado, de conformidad con los artículos 190 y/o 223 de la Ley de Transparencia y Acceso a la Información Pública del Estado de México y Municipios, el pleno de este Instituto puede determinar:</w:t>
      </w:r>
    </w:p>
    <w:p w:rsidR="00193838" w:rsidRPr="008F3BAF" w:rsidRDefault="00193838" w:rsidP="00193838">
      <w:pPr>
        <w:pStyle w:val="Prrafodelista"/>
        <w:numPr>
          <w:ilvl w:val="0"/>
          <w:numId w:val="2"/>
        </w:numPr>
        <w:autoSpaceDE w:val="0"/>
        <w:autoSpaceDN w:val="0"/>
        <w:adjustRightInd w:val="0"/>
        <w:spacing w:before="240" w:after="240" w:line="360" w:lineRule="auto"/>
        <w:jc w:val="both"/>
        <w:rPr>
          <w:rFonts w:ascii="Palatino Linotype" w:hAnsi="Palatino Linotype" w:cs="Arial"/>
          <w:color w:val="222222"/>
          <w:lang w:eastAsia="es-MX"/>
        </w:rPr>
      </w:pPr>
      <w:r w:rsidRPr="008F3BAF">
        <w:rPr>
          <w:rFonts w:ascii="Palatino Linotype" w:hAnsi="Palatino Linotype"/>
          <w:color w:val="222222"/>
          <w:lang w:eastAsia="es-ES_tradnl"/>
        </w:rPr>
        <w:t xml:space="preserve">Hacer del conocimiento del órgano de control interno de la instancia competente de la probable responsabilidad por el incumplimiento a las </w:t>
      </w:r>
      <w:r w:rsidRPr="008F3BAF">
        <w:rPr>
          <w:rFonts w:ascii="Palatino Linotype" w:hAnsi="Palatino Linotype"/>
          <w:color w:val="222222"/>
          <w:lang w:eastAsia="es-ES_tradnl"/>
        </w:rPr>
        <w:lastRenderedPageBreak/>
        <w:t>obligaciones previstas en la Ley de la Materia y en las demás disposiciones legales aplicables</w:t>
      </w:r>
      <w:r>
        <w:rPr>
          <w:rFonts w:ascii="Palatino Linotype" w:hAnsi="Palatino Linotype"/>
          <w:color w:val="222222"/>
          <w:lang w:eastAsia="es-ES_tradnl"/>
        </w:rPr>
        <w:t xml:space="preserve"> a</w:t>
      </w:r>
      <w:r w:rsidRPr="008F3BAF">
        <w:rPr>
          <w:rFonts w:ascii="Palatino Linotype" w:hAnsi="Palatino Linotype"/>
          <w:color w:val="222222"/>
          <w:lang w:eastAsia="es-ES_tradnl"/>
        </w:rPr>
        <w:t xml:space="preserve"> la materia, para que este inicie en su caso, el procedimiento de responsabilidad respectivo, cuyo resultado debe ser informado al Institut</w:t>
      </w:r>
      <w:r>
        <w:rPr>
          <w:rFonts w:ascii="Palatino Linotype" w:hAnsi="Palatino Linotype"/>
          <w:color w:val="222222"/>
          <w:lang w:eastAsia="es-ES_tradnl"/>
        </w:rPr>
        <w:t>o.</w:t>
      </w:r>
    </w:p>
    <w:p w:rsidR="00193838" w:rsidRPr="008F3BAF" w:rsidRDefault="00193838" w:rsidP="00193838">
      <w:pPr>
        <w:pStyle w:val="Prrafodelista"/>
        <w:numPr>
          <w:ilvl w:val="0"/>
          <w:numId w:val="2"/>
        </w:numPr>
        <w:autoSpaceDE w:val="0"/>
        <w:autoSpaceDN w:val="0"/>
        <w:adjustRightInd w:val="0"/>
        <w:spacing w:before="240" w:after="240" w:line="360" w:lineRule="auto"/>
        <w:jc w:val="both"/>
        <w:rPr>
          <w:rFonts w:ascii="Palatino Linotype" w:hAnsi="Palatino Linotype" w:cs="Arial"/>
          <w:color w:val="222222"/>
          <w:lang w:eastAsia="es-MX"/>
        </w:rPr>
      </w:pPr>
      <w:r>
        <w:rPr>
          <w:rFonts w:ascii="Palatino Linotype" w:hAnsi="Palatino Linotype" w:cs="Bookman Old Style"/>
        </w:rPr>
        <w:t>Dar vista a la contraloría Interna y Órgano de Control y Vigilancia en términos de la Ley de Responsabilidades de os Servidores Públicos del Estado y Municipios, para que determine el grado de responsabilidad de quienes incumplan con las obligaciones de la Ley de Transparencia en la entidad.</w:t>
      </w:r>
    </w:p>
    <w:p w:rsidR="00193838" w:rsidRDefault="003C5FE1" w:rsidP="00193838">
      <w:pPr>
        <w:autoSpaceDE w:val="0"/>
        <w:autoSpaceDN w:val="0"/>
        <w:adjustRightInd w:val="0"/>
        <w:spacing w:before="240" w:after="240" w:line="360" w:lineRule="auto"/>
        <w:jc w:val="both"/>
        <w:rPr>
          <w:rFonts w:ascii="Palatino Linotype" w:hAnsi="Palatino Linotype" w:cs="Bookman Old Style"/>
        </w:rPr>
      </w:pPr>
      <w:r>
        <w:rPr>
          <w:rFonts w:ascii="Palatino Linotype" w:hAnsi="Palatino Linotype" w:cs="Bookman Old Style"/>
        </w:rPr>
        <w:t xml:space="preserve">De manera que si bien, el </w:t>
      </w:r>
      <w:r w:rsidR="00193838">
        <w:rPr>
          <w:rFonts w:ascii="Palatino Linotype" w:hAnsi="Palatino Linotype" w:cs="Bookman Old Style"/>
        </w:rPr>
        <w:t>recurso de revisión</w:t>
      </w:r>
      <w:r>
        <w:rPr>
          <w:rFonts w:ascii="Palatino Linotype" w:hAnsi="Palatino Linotype" w:cs="Bookman Old Style"/>
        </w:rPr>
        <w:t xml:space="preserve"> reconocido en la Ley de Transparencia y Acceso a la Información Pública del Estado de México y Municipios</w:t>
      </w:r>
      <w:r w:rsidR="00193838">
        <w:rPr>
          <w:rFonts w:ascii="Palatino Linotype" w:hAnsi="Palatino Linotype" w:cs="Bookman Old Style"/>
        </w:rPr>
        <w:t xml:space="preserve"> salvaguarda el derecho de acceso a la información pública de los particulares</w:t>
      </w:r>
      <w:r>
        <w:rPr>
          <w:rFonts w:ascii="Palatino Linotype" w:hAnsi="Palatino Linotype" w:cs="Bookman Old Style"/>
        </w:rPr>
        <w:t xml:space="preserve"> por las posibles afectaciones del derecho en cuestión por parte de los sujetos obligados, también lo es, que la misma ley dispone, que se trata de información confidencial aquella que hace referencia a la vida privada y datos concernientes a una persona física o jurídica colectiva identificada e identificable, y en el asunto materia de la emisión del presente voto, hacer pública la clave catastral permite que en algún momento se pueda hacer identificable el patrimonio de un individuo sujeto de derechos y obligaciones. </w:t>
      </w:r>
    </w:p>
    <w:p w:rsidR="00F26BA7" w:rsidRDefault="00462F9C" w:rsidP="00214842">
      <w:pPr>
        <w:spacing w:before="240" w:after="240" w:line="360" w:lineRule="auto"/>
        <w:jc w:val="both"/>
        <w:rPr>
          <w:rFonts w:ascii="Palatino Linotype" w:eastAsia="Arial Unicode MS" w:hAnsi="Palatino Linotype" w:cs="Arial"/>
          <w:sz w:val="24"/>
          <w:szCs w:val="24"/>
        </w:rPr>
      </w:pPr>
      <w:r>
        <w:rPr>
          <w:rFonts w:ascii="Palatino Linotype" w:hAnsi="Palatino Linotype"/>
          <w:sz w:val="24"/>
          <w:szCs w:val="24"/>
        </w:rPr>
        <w:t xml:space="preserve">Por </w:t>
      </w:r>
      <w:r w:rsidR="00F26BA7">
        <w:rPr>
          <w:rFonts w:ascii="Palatino Linotype" w:hAnsi="Palatino Linotype"/>
          <w:sz w:val="24"/>
          <w:szCs w:val="24"/>
        </w:rPr>
        <w:t xml:space="preserve">las consideraciones expuestas, con </w:t>
      </w:r>
      <w:r w:rsidRPr="009A256B">
        <w:rPr>
          <w:rFonts w:ascii="Palatino Linotype" w:hAnsi="Palatino Linotype"/>
          <w:sz w:val="24"/>
          <w:szCs w:val="24"/>
        </w:rPr>
        <w:t xml:space="preserve">fundamento en lo dispuesto por el artículo </w:t>
      </w:r>
      <w:r>
        <w:rPr>
          <w:rFonts w:ascii="Palatino Linotype" w:hAnsi="Palatino Linotype"/>
        </w:rPr>
        <w:t xml:space="preserve">14 fracciones X y XI </w:t>
      </w:r>
      <w:r w:rsidRPr="009A256B">
        <w:rPr>
          <w:rFonts w:ascii="Palatino Linotype" w:hAnsi="Palatino Linotype"/>
          <w:sz w:val="24"/>
          <w:szCs w:val="24"/>
        </w:rPr>
        <w:t xml:space="preserve">del Reglamento Interior del Instituto de Transparencia, Acceso a la Información Pública y Protección de Datos Personales del Estado </w:t>
      </w:r>
      <w:r>
        <w:rPr>
          <w:rFonts w:ascii="Palatino Linotype" w:hAnsi="Palatino Linotype"/>
          <w:sz w:val="24"/>
          <w:szCs w:val="24"/>
        </w:rPr>
        <w:t xml:space="preserve">de México y Municipios, </w:t>
      </w:r>
      <w:r w:rsidR="00F26BA7">
        <w:rPr>
          <w:rFonts w:ascii="Palatino Linotype" w:hAnsi="Palatino Linotype"/>
          <w:sz w:val="24"/>
          <w:szCs w:val="24"/>
        </w:rPr>
        <w:t>emito</w:t>
      </w:r>
      <w:r>
        <w:rPr>
          <w:rFonts w:ascii="Palatino Linotype" w:hAnsi="Palatino Linotype"/>
          <w:sz w:val="24"/>
          <w:szCs w:val="24"/>
        </w:rPr>
        <w:t xml:space="preserve"> VOTO</w:t>
      </w:r>
      <w:r w:rsidRPr="009A256B">
        <w:rPr>
          <w:rFonts w:ascii="Palatino Linotype" w:hAnsi="Palatino Linotype"/>
          <w:sz w:val="24"/>
          <w:szCs w:val="24"/>
        </w:rPr>
        <w:t xml:space="preserve"> PARTICULAR</w:t>
      </w:r>
      <w:r>
        <w:rPr>
          <w:rFonts w:ascii="Palatino Linotype" w:hAnsi="Palatino Linotype"/>
          <w:sz w:val="24"/>
          <w:szCs w:val="24"/>
        </w:rPr>
        <w:t xml:space="preserve"> </w:t>
      </w:r>
      <w:r w:rsidR="00F11F36">
        <w:rPr>
          <w:rFonts w:ascii="Palatino Linotype" w:hAnsi="Palatino Linotype"/>
          <w:sz w:val="24"/>
          <w:szCs w:val="24"/>
        </w:rPr>
        <w:t xml:space="preserve">al considerar que </w:t>
      </w:r>
      <w:r w:rsidR="00193838">
        <w:rPr>
          <w:rFonts w:ascii="Palatino Linotype" w:hAnsi="Palatino Linotype"/>
          <w:sz w:val="24"/>
          <w:szCs w:val="24"/>
        </w:rPr>
        <w:t xml:space="preserve">debió clasificarse como información confidencial la clave catastral, por lo que al hacerla pública el Sujeto </w:t>
      </w:r>
      <w:r w:rsidR="00193838">
        <w:rPr>
          <w:rFonts w:ascii="Palatino Linotype" w:hAnsi="Palatino Linotype"/>
          <w:sz w:val="24"/>
          <w:szCs w:val="24"/>
        </w:rPr>
        <w:lastRenderedPageBreak/>
        <w:t>Obligado, correspondía dar vista al Órgano de Control Interno para que determinara la medidas conducentes.</w:t>
      </w:r>
    </w:p>
    <w:p w:rsidR="00462F9C" w:rsidRDefault="00462F9C" w:rsidP="001E28B6">
      <w:pPr>
        <w:spacing w:before="240" w:after="240" w:line="360" w:lineRule="auto"/>
        <w:jc w:val="both"/>
        <w:rPr>
          <w:rFonts w:ascii="Palatino Linotype" w:hAnsi="Palatino Linotype"/>
          <w:sz w:val="24"/>
          <w:szCs w:val="24"/>
        </w:rPr>
      </w:pPr>
    </w:p>
    <w:p w:rsidR="00456467" w:rsidRDefault="00456467" w:rsidP="000607BA">
      <w:pPr>
        <w:spacing w:after="0" w:line="360" w:lineRule="auto"/>
        <w:jc w:val="both"/>
        <w:rPr>
          <w:rFonts w:ascii="Palatino Linotype" w:hAnsi="Palatino Linotype"/>
          <w:sz w:val="24"/>
          <w:szCs w:val="24"/>
        </w:rPr>
      </w:pPr>
    </w:p>
    <w:p w:rsidR="00456467" w:rsidRDefault="00456467" w:rsidP="000607BA">
      <w:pPr>
        <w:spacing w:after="0" w:line="360" w:lineRule="auto"/>
        <w:jc w:val="both"/>
        <w:rPr>
          <w:rFonts w:ascii="Palatino Linotype" w:hAnsi="Palatino Linotype"/>
          <w:sz w:val="24"/>
          <w:szCs w:val="24"/>
        </w:rPr>
      </w:pPr>
    </w:p>
    <w:p w:rsidR="00462F9C" w:rsidRDefault="00462F9C" w:rsidP="000607BA">
      <w:pPr>
        <w:spacing w:after="0" w:line="360" w:lineRule="auto"/>
        <w:jc w:val="both"/>
        <w:rPr>
          <w:rFonts w:ascii="Palatino Linotype" w:hAnsi="Palatino Linotype"/>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59"/>
      </w:tblGrid>
      <w:tr w:rsidR="00BB72CD" w:rsidTr="003974DE">
        <w:trPr>
          <w:trHeight w:val="702"/>
        </w:trPr>
        <w:tc>
          <w:tcPr>
            <w:tcW w:w="8918" w:type="dxa"/>
            <w:gridSpan w:val="2"/>
          </w:tcPr>
          <w:p w:rsidR="00BB72CD" w:rsidRPr="00462F9C" w:rsidRDefault="00BB72CD" w:rsidP="00462F9C">
            <w:pPr>
              <w:spacing w:line="240" w:lineRule="auto"/>
              <w:jc w:val="center"/>
              <w:rPr>
                <w:rFonts w:ascii="Palatino Linotype" w:hAnsi="Palatino Linotype"/>
                <w:b/>
                <w:sz w:val="28"/>
                <w:szCs w:val="28"/>
              </w:rPr>
            </w:pPr>
            <w:r>
              <w:rPr>
                <w:rFonts w:ascii="Palatino Linotype" w:hAnsi="Palatino Linotype"/>
                <w:b/>
                <w:sz w:val="28"/>
                <w:szCs w:val="28"/>
              </w:rPr>
              <w:t>Javier Martínez Cruz</w:t>
            </w:r>
          </w:p>
          <w:p w:rsidR="00BB72CD" w:rsidRDefault="00BB72CD" w:rsidP="00800F26">
            <w:pPr>
              <w:spacing w:line="240" w:lineRule="auto"/>
              <w:jc w:val="center"/>
              <w:rPr>
                <w:rFonts w:ascii="Palatino Linotype" w:hAnsi="Palatino Linotype"/>
                <w:b/>
                <w:sz w:val="24"/>
                <w:szCs w:val="24"/>
              </w:rPr>
            </w:pPr>
            <w:r>
              <w:rPr>
                <w:rFonts w:ascii="Palatino Linotype" w:hAnsi="Palatino Linotype"/>
                <w:b/>
                <w:sz w:val="24"/>
                <w:szCs w:val="24"/>
              </w:rPr>
              <w:t>Comisionado</w:t>
            </w:r>
          </w:p>
          <w:p w:rsidR="00193838" w:rsidRDefault="00193838" w:rsidP="00800F26">
            <w:pPr>
              <w:spacing w:line="240" w:lineRule="auto"/>
              <w:jc w:val="center"/>
              <w:rPr>
                <w:rFonts w:ascii="Palatino Linotype" w:hAnsi="Palatino Linotype"/>
                <w:b/>
                <w:sz w:val="24"/>
                <w:szCs w:val="24"/>
              </w:rPr>
            </w:pPr>
            <w:bookmarkStart w:id="0" w:name="_GoBack"/>
            <w:r>
              <w:rPr>
                <w:rFonts w:ascii="Palatino Linotype" w:hAnsi="Palatino Linotype"/>
                <w:b/>
                <w:sz w:val="24"/>
                <w:szCs w:val="24"/>
              </w:rPr>
              <w:t>(</w:t>
            </w:r>
            <w:r w:rsidR="00527E71">
              <w:rPr>
                <w:rFonts w:ascii="Palatino Linotype" w:hAnsi="Palatino Linotype"/>
                <w:b/>
                <w:sz w:val="24"/>
                <w:szCs w:val="24"/>
              </w:rPr>
              <w:t>Rúbrica</w:t>
            </w:r>
            <w:r>
              <w:rPr>
                <w:rFonts w:ascii="Palatino Linotype" w:hAnsi="Palatino Linotype"/>
                <w:b/>
                <w:sz w:val="24"/>
                <w:szCs w:val="24"/>
              </w:rPr>
              <w:t>)</w:t>
            </w:r>
          </w:p>
          <w:bookmarkEnd w:id="0"/>
          <w:p w:rsidR="00144A42" w:rsidRPr="00462F9C" w:rsidRDefault="00144A42" w:rsidP="00800F26">
            <w:pPr>
              <w:spacing w:line="240" w:lineRule="auto"/>
              <w:jc w:val="center"/>
              <w:rPr>
                <w:rFonts w:ascii="Palatino Linotype" w:hAnsi="Palatino Linotype"/>
                <w:b/>
                <w:sz w:val="28"/>
                <w:szCs w:val="28"/>
              </w:rPr>
            </w:pPr>
          </w:p>
        </w:tc>
      </w:tr>
      <w:tr w:rsidR="00462F9C" w:rsidTr="00800F26">
        <w:tc>
          <w:tcPr>
            <w:tcW w:w="4459" w:type="dxa"/>
          </w:tcPr>
          <w:p w:rsidR="00462F9C" w:rsidRPr="00237368" w:rsidRDefault="00462F9C" w:rsidP="00800F26">
            <w:pPr>
              <w:spacing w:line="240" w:lineRule="auto"/>
              <w:jc w:val="center"/>
              <w:rPr>
                <w:rFonts w:ascii="Palatino Linotype" w:hAnsi="Palatino Linotype" w:cs="Arial"/>
              </w:rPr>
            </w:pPr>
          </w:p>
        </w:tc>
        <w:tc>
          <w:tcPr>
            <w:tcW w:w="4459" w:type="dxa"/>
          </w:tcPr>
          <w:p w:rsidR="00462F9C" w:rsidRPr="00237368" w:rsidRDefault="00462F9C" w:rsidP="00800F26">
            <w:pPr>
              <w:spacing w:line="240" w:lineRule="auto"/>
              <w:jc w:val="center"/>
              <w:rPr>
                <w:rFonts w:ascii="Palatino Linotype" w:hAnsi="Palatino Linotype" w:cs="Arial"/>
              </w:rPr>
            </w:pPr>
          </w:p>
        </w:tc>
      </w:tr>
    </w:tbl>
    <w:p w:rsidR="005777C1" w:rsidRPr="003F3117" w:rsidRDefault="005777C1" w:rsidP="003E7A3F">
      <w:pPr>
        <w:spacing w:after="0" w:line="360" w:lineRule="auto"/>
        <w:rPr>
          <w:rFonts w:ascii="Palatino Linotype" w:hAnsi="Palatino Linotype"/>
          <w:b/>
          <w:sz w:val="28"/>
          <w:szCs w:val="28"/>
        </w:rPr>
      </w:pPr>
    </w:p>
    <w:sectPr w:rsidR="005777C1" w:rsidRPr="003F3117" w:rsidSect="00115CE3">
      <w:headerReference w:type="even" r:id="rId8"/>
      <w:headerReference w:type="default" r:id="rId9"/>
      <w:footerReference w:type="default" r:id="rId10"/>
      <w:headerReference w:type="firs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EDC" w:rsidRDefault="004C5EDC" w:rsidP="00907451">
      <w:pPr>
        <w:spacing w:after="0" w:line="240" w:lineRule="auto"/>
      </w:pPr>
      <w:r>
        <w:separator/>
      </w:r>
    </w:p>
  </w:endnote>
  <w:endnote w:type="continuationSeparator" w:id="0">
    <w:p w:rsidR="004C5EDC" w:rsidRDefault="004C5EDC"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F5A3E">
      <w:rPr>
        <w:rFonts w:ascii="Arial" w:hAnsi="Arial" w:cs="Arial"/>
        <w:b/>
        <w:bCs/>
        <w:noProof/>
        <w:sz w:val="20"/>
        <w:szCs w:val="20"/>
      </w:rPr>
      <w:t>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F5A3E">
      <w:rPr>
        <w:rFonts w:ascii="Arial" w:hAnsi="Arial" w:cs="Arial"/>
        <w:b/>
        <w:bCs/>
        <w:noProof/>
        <w:sz w:val="20"/>
        <w:szCs w:val="20"/>
      </w:rPr>
      <w:t>7</w:t>
    </w:r>
    <w:r w:rsidRPr="00986599">
      <w:rPr>
        <w:rFonts w:ascii="Arial" w:hAnsi="Arial" w:cs="Arial"/>
        <w:b/>
        <w:bCs/>
        <w:sz w:val="20"/>
        <w:szCs w:val="20"/>
      </w:rPr>
      <w:fldChar w:fldCharType="end"/>
    </w:r>
  </w:p>
  <w:p w:rsidR="00D758BE" w:rsidRDefault="004C5EDC"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EDC" w:rsidRDefault="004C5EDC" w:rsidP="00907451">
      <w:pPr>
        <w:spacing w:after="0" w:line="240" w:lineRule="auto"/>
      </w:pPr>
      <w:r>
        <w:separator/>
      </w:r>
    </w:p>
  </w:footnote>
  <w:footnote w:type="continuationSeparator" w:id="0">
    <w:p w:rsidR="004C5EDC" w:rsidRDefault="004C5EDC"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4C5ED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739969" o:spid="_x0000_s2050" type="#_x0000_t136" style="position:absolute;margin-left:0;margin-top:0;width:561.9pt;height:67.4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CONCURRENTE"/>
          <w10:wrap anchorx="margin" anchory="margin"/>
        </v:shape>
      </w:pict>
    </w:r>
    <w:r w:rsidR="00057319">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8"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AA53B5" w:rsidP="007263BB">
    <w:pPr>
      <w:pStyle w:val="Encabezado"/>
      <w:jc w:val="right"/>
      <w:rPr>
        <w:rFonts w:ascii="Arial" w:hAnsi="Arial" w:cs="Arial"/>
        <w:sz w:val="20"/>
        <w:szCs w:val="20"/>
      </w:rPr>
    </w:pPr>
    <w:r>
      <w:rPr>
        <w:noProof/>
        <w:lang w:val="es-MX" w:eastAsia="es-MX"/>
      </w:rPr>
      <w:drawing>
        <wp:anchor distT="0" distB="0" distL="114300" distR="114300" simplePos="0" relativeHeight="251663360" behindDoc="1" locked="0" layoutInCell="1" allowOverlap="1">
          <wp:simplePos x="0" y="0"/>
          <wp:positionH relativeFrom="page">
            <wp:align>left</wp:align>
          </wp:positionH>
          <wp:positionV relativeFrom="paragraph">
            <wp:posOffset>-710565</wp:posOffset>
          </wp:positionV>
          <wp:extent cx="7510628"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Default="004C5EDC" w:rsidP="007263BB">
    <w:pPr>
      <w:pStyle w:val="Encabezado"/>
      <w:jc w:val="right"/>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739970" o:spid="_x0000_s2049" type="#_x0000_t136" alt="OPINIÓN PARTICULAR" style="position:absolute;left:0;text-align:left;margin-left:0;margin-top:0;width:561.9pt;height:67.4pt;rotation:315;z-index:-251657216;mso-position-horizontal:center;mso-position-horizontal-relative:margin;mso-position-vertical:center;mso-position-vertical-relative:margin" o:allowincell="f" fillcolor="#c45911 [2405]" stroked="f">
          <v:fill opacity=".5"/>
          <v:textpath style="font-family:&quot;Calibri&quot;;font-size:1pt;font-weight:bold" string="VOTO PARTICULAR CONCURRENTE"/>
          <w10:wrap anchorx="margin" anchory="margin"/>
        </v:shape>
      </w:pict>
    </w:r>
  </w:p>
  <w:p w:rsidR="00D758BE" w:rsidRDefault="004C5EDC" w:rsidP="007263BB">
    <w:pPr>
      <w:pStyle w:val="Encabezado"/>
      <w:jc w:val="right"/>
      <w:rPr>
        <w:rFonts w:ascii="Arial" w:hAnsi="Arial" w:cs="Arial"/>
        <w:sz w:val="20"/>
        <w:szCs w:val="20"/>
      </w:rPr>
    </w:pPr>
  </w:p>
  <w:p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PARTICULAR</w:t>
    </w:r>
  </w:p>
  <w:p w:rsidR="00EE5FB0" w:rsidRPr="00563D0F" w:rsidRDefault="00057319"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897E24" w:rsidRPr="00897E24">
      <w:rPr>
        <w:rFonts w:ascii="Palatino Linotype" w:hAnsi="Palatino Linotype" w:cs="Arial"/>
        <w:b/>
        <w:sz w:val="20"/>
        <w:szCs w:val="20"/>
      </w:rPr>
      <w:t>0</w:t>
    </w:r>
    <w:r w:rsidR="002C6F84">
      <w:rPr>
        <w:rFonts w:ascii="Palatino Linotype" w:hAnsi="Palatino Linotype" w:cs="Arial"/>
        <w:b/>
        <w:sz w:val="20"/>
        <w:szCs w:val="20"/>
      </w:rPr>
      <w:t>3502</w:t>
    </w:r>
    <w:r w:rsidR="00897E24" w:rsidRPr="00897E24">
      <w:rPr>
        <w:rFonts w:ascii="Palatino Linotype" w:hAnsi="Palatino Linotype" w:cs="Arial"/>
        <w:b/>
        <w:sz w:val="20"/>
        <w:szCs w:val="20"/>
      </w:rPr>
      <w:t>/INFOEM/IP/RR/201</w:t>
    </w:r>
    <w:r w:rsidR="002C6F84">
      <w:rPr>
        <w:rFonts w:ascii="Palatino Linotype" w:hAnsi="Palatino Linotype" w:cs="Arial"/>
        <w:b/>
        <w:sz w:val="20"/>
        <w:szCs w:val="20"/>
      </w:rPr>
      <w:t>8</w:t>
    </w:r>
    <w:r w:rsidR="005714BE">
      <w:rPr>
        <w:rFonts w:ascii="Palatino Linotype" w:hAnsi="Palatino Linotype" w:cs="Arial"/>
        <w:b/>
        <w:sz w:val="20"/>
        <w:szCs w:val="20"/>
      </w:rPr>
      <w:t xml:space="preserve"> y acumulado</w:t>
    </w:r>
  </w:p>
  <w:p w:rsidR="00D758BE" w:rsidRDefault="004C5EDC" w:rsidP="007263BB">
    <w:pPr>
      <w:pStyle w:val="Encabezado"/>
      <w:jc w:val="right"/>
      <w:rPr>
        <w:rFonts w:ascii="Palatino Linotype" w:hAnsi="Palatino Linotype" w:cs="Arial"/>
        <w:sz w:val="20"/>
        <w:szCs w:val="20"/>
      </w:rPr>
    </w:pPr>
  </w:p>
  <w:p w:rsidR="00233AB2" w:rsidRDefault="004C5EDC" w:rsidP="007263BB">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4C5ED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739968" o:spid="_x0000_s2051" type="#_x0000_t136" style="position:absolute;margin-left:0;margin-top:0;width:561.9pt;height:67.4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601E8"/>
    <w:multiLevelType w:val="hybridMultilevel"/>
    <w:tmpl w:val="E8CC6FBE"/>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4FA2"/>
    <w:rsid w:val="0000791E"/>
    <w:rsid w:val="00031052"/>
    <w:rsid w:val="00041D4E"/>
    <w:rsid w:val="0005061C"/>
    <w:rsid w:val="00051C17"/>
    <w:rsid w:val="00053AFC"/>
    <w:rsid w:val="00057319"/>
    <w:rsid w:val="000607BA"/>
    <w:rsid w:val="00070D26"/>
    <w:rsid w:val="000851D9"/>
    <w:rsid w:val="000D5063"/>
    <w:rsid w:val="000E44AD"/>
    <w:rsid w:val="00127955"/>
    <w:rsid w:val="00132EFB"/>
    <w:rsid w:val="00144A42"/>
    <w:rsid w:val="00155046"/>
    <w:rsid w:val="001822F4"/>
    <w:rsid w:val="00193838"/>
    <w:rsid w:val="001A79E1"/>
    <w:rsid w:val="001A7A16"/>
    <w:rsid w:val="001A7C78"/>
    <w:rsid w:val="001B39E3"/>
    <w:rsid w:val="001C4F6B"/>
    <w:rsid w:val="001E258D"/>
    <w:rsid w:val="001E28B6"/>
    <w:rsid w:val="001E3257"/>
    <w:rsid w:val="001E7439"/>
    <w:rsid w:val="001F4B72"/>
    <w:rsid w:val="00214842"/>
    <w:rsid w:val="00215353"/>
    <w:rsid w:val="00237368"/>
    <w:rsid w:val="0026594A"/>
    <w:rsid w:val="00292D40"/>
    <w:rsid w:val="002A5ADD"/>
    <w:rsid w:val="002A6359"/>
    <w:rsid w:val="002B3FA8"/>
    <w:rsid w:val="002B4286"/>
    <w:rsid w:val="002C6F84"/>
    <w:rsid w:val="002E161C"/>
    <w:rsid w:val="002F0125"/>
    <w:rsid w:val="00334F64"/>
    <w:rsid w:val="00335939"/>
    <w:rsid w:val="0036408D"/>
    <w:rsid w:val="00365065"/>
    <w:rsid w:val="003A0061"/>
    <w:rsid w:val="003C37BD"/>
    <w:rsid w:val="003C5FE1"/>
    <w:rsid w:val="003E7A3F"/>
    <w:rsid w:val="00405C7B"/>
    <w:rsid w:val="00456467"/>
    <w:rsid w:val="00462F9C"/>
    <w:rsid w:val="004C276D"/>
    <w:rsid w:val="004C5EDC"/>
    <w:rsid w:val="004E4151"/>
    <w:rsid w:val="004F5A3E"/>
    <w:rsid w:val="004F5E52"/>
    <w:rsid w:val="004F7D00"/>
    <w:rsid w:val="00505F5A"/>
    <w:rsid w:val="005169BD"/>
    <w:rsid w:val="00527E71"/>
    <w:rsid w:val="005439FF"/>
    <w:rsid w:val="005507BF"/>
    <w:rsid w:val="00553E6C"/>
    <w:rsid w:val="005549ED"/>
    <w:rsid w:val="005714BE"/>
    <w:rsid w:val="005777C1"/>
    <w:rsid w:val="00585E4B"/>
    <w:rsid w:val="005C239D"/>
    <w:rsid w:val="005D066B"/>
    <w:rsid w:val="005F4C0C"/>
    <w:rsid w:val="006214D7"/>
    <w:rsid w:val="00631FBA"/>
    <w:rsid w:val="00642D91"/>
    <w:rsid w:val="006551EF"/>
    <w:rsid w:val="00680DD7"/>
    <w:rsid w:val="00682AEC"/>
    <w:rsid w:val="006975A6"/>
    <w:rsid w:val="006A6AF4"/>
    <w:rsid w:val="006A7F06"/>
    <w:rsid w:val="006C0C1C"/>
    <w:rsid w:val="006C34A1"/>
    <w:rsid w:val="006E048C"/>
    <w:rsid w:val="006E2616"/>
    <w:rsid w:val="006F346D"/>
    <w:rsid w:val="00737416"/>
    <w:rsid w:val="007917A5"/>
    <w:rsid w:val="007B6EE5"/>
    <w:rsid w:val="007C6C71"/>
    <w:rsid w:val="007F0FEE"/>
    <w:rsid w:val="00817AA2"/>
    <w:rsid w:val="00825DEC"/>
    <w:rsid w:val="00856631"/>
    <w:rsid w:val="0085760C"/>
    <w:rsid w:val="00871E3F"/>
    <w:rsid w:val="0087565D"/>
    <w:rsid w:val="00883ABB"/>
    <w:rsid w:val="00892DF4"/>
    <w:rsid w:val="00894E26"/>
    <w:rsid w:val="00897E24"/>
    <w:rsid w:val="008A21F8"/>
    <w:rsid w:val="008A4206"/>
    <w:rsid w:val="008D13D7"/>
    <w:rsid w:val="008E2933"/>
    <w:rsid w:val="008E63B6"/>
    <w:rsid w:val="00902BEC"/>
    <w:rsid w:val="00907451"/>
    <w:rsid w:val="00956FEF"/>
    <w:rsid w:val="009611D3"/>
    <w:rsid w:val="009765BE"/>
    <w:rsid w:val="009861E6"/>
    <w:rsid w:val="0098633B"/>
    <w:rsid w:val="009D4A3C"/>
    <w:rsid w:val="00A01E1E"/>
    <w:rsid w:val="00A1161D"/>
    <w:rsid w:val="00A21005"/>
    <w:rsid w:val="00A44ECA"/>
    <w:rsid w:val="00AA4906"/>
    <w:rsid w:val="00AA53B5"/>
    <w:rsid w:val="00AA7F33"/>
    <w:rsid w:val="00AB0909"/>
    <w:rsid w:val="00AC3ECC"/>
    <w:rsid w:val="00AD0389"/>
    <w:rsid w:val="00B02DEB"/>
    <w:rsid w:val="00B06371"/>
    <w:rsid w:val="00B42E5B"/>
    <w:rsid w:val="00B547F4"/>
    <w:rsid w:val="00B615F6"/>
    <w:rsid w:val="00B63E78"/>
    <w:rsid w:val="00B64C32"/>
    <w:rsid w:val="00B95ED4"/>
    <w:rsid w:val="00BA3598"/>
    <w:rsid w:val="00BB72CD"/>
    <w:rsid w:val="00BE6B5D"/>
    <w:rsid w:val="00BF539C"/>
    <w:rsid w:val="00C31223"/>
    <w:rsid w:val="00C3452B"/>
    <w:rsid w:val="00C44E15"/>
    <w:rsid w:val="00C47969"/>
    <w:rsid w:val="00C6145E"/>
    <w:rsid w:val="00C73967"/>
    <w:rsid w:val="00CC5CDC"/>
    <w:rsid w:val="00CF1906"/>
    <w:rsid w:val="00CF29D2"/>
    <w:rsid w:val="00D32E4F"/>
    <w:rsid w:val="00D479B7"/>
    <w:rsid w:val="00D94893"/>
    <w:rsid w:val="00D9754B"/>
    <w:rsid w:val="00DB70E3"/>
    <w:rsid w:val="00DC2F2E"/>
    <w:rsid w:val="00DC752B"/>
    <w:rsid w:val="00DD0C86"/>
    <w:rsid w:val="00DD6D0A"/>
    <w:rsid w:val="00E14B35"/>
    <w:rsid w:val="00E20299"/>
    <w:rsid w:val="00E30FFD"/>
    <w:rsid w:val="00E358FB"/>
    <w:rsid w:val="00E35D2D"/>
    <w:rsid w:val="00E433E7"/>
    <w:rsid w:val="00E920D4"/>
    <w:rsid w:val="00EC695B"/>
    <w:rsid w:val="00F11F36"/>
    <w:rsid w:val="00F26BA7"/>
    <w:rsid w:val="00F33C81"/>
    <w:rsid w:val="00F466F2"/>
    <w:rsid w:val="00F71A88"/>
    <w:rsid w:val="00F76B05"/>
    <w:rsid w:val="00F91B56"/>
    <w:rsid w:val="00F932CA"/>
    <w:rsid w:val="00F966B7"/>
    <w:rsid w:val="00F97255"/>
    <w:rsid w:val="00FD0DFE"/>
    <w:rsid w:val="00FD168F"/>
    <w:rsid w:val="00FD32BD"/>
    <w:rsid w:val="00FD3336"/>
    <w:rsid w:val="00FD3F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table" w:styleId="Tablaconcuadrcula">
    <w:name w:val="Table Grid"/>
    <w:basedOn w:val="Tablanormal"/>
    <w:uiPriority w:val="39"/>
    <w:rsid w:val="00C34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qFormat/>
    <w:rsid w:val="0085760C"/>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5760C"/>
    <w:rPr>
      <w:rFonts w:ascii="Arial" w:eastAsia="Times New Roman" w:hAnsi="Arial" w:cs="Arial"/>
      <w:sz w:val="18"/>
      <w:szCs w:val="20"/>
      <w:lang w:val="es-ES" w:eastAsia="es-ES"/>
    </w:rPr>
  </w:style>
  <w:style w:type="paragraph" w:styleId="Textosinformato">
    <w:name w:val="Plain Text"/>
    <w:basedOn w:val="Normal"/>
    <w:link w:val="TextosinformatoCar"/>
    <w:unhideWhenUsed/>
    <w:rsid w:val="0085760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85760C"/>
    <w:rPr>
      <w:rFonts w:ascii="Courier New" w:eastAsia="Times New Roman" w:hAnsi="Courier New" w:cs="Times New Roman"/>
      <w:sz w:val="20"/>
      <w:szCs w:val="20"/>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861E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861E6"/>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861E6"/>
    <w:rPr>
      <w:vertAlign w:val="superscript"/>
    </w:rPr>
  </w:style>
  <w:style w:type="paragraph" w:styleId="Sinespaciado">
    <w:name w:val="No Spacing"/>
    <w:aliases w:val="Francesa"/>
    <w:link w:val="SinespaciadoCar"/>
    <w:uiPriority w:val="1"/>
    <w:qFormat/>
    <w:rsid w:val="00AA490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AA490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6435D5B-AE49-49E2-94A4-6627612C3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7</Pages>
  <Words>1597</Words>
  <Characters>8784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66</cp:revision>
  <cp:lastPrinted>2018-12-04T00:08:00Z</cp:lastPrinted>
  <dcterms:created xsi:type="dcterms:W3CDTF">2016-06-24T15:53:00Z</dcterms:created>
  <dcterms:modified xsi:type="dcterms:W3CDTF">2018-12-04T00:11:00Z</dcterms:modified>
</cp:coreProperties>
</file>